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900"/>
        <w:jc w:val="center"/>
      </w:pPr>
      <w:r>
        <w:rPr>
          <w:b/>
          <w:color w:val="B7791F"/>
          <w:sz w:val="20"/>
        </w:rPr>
        <w:t>GUIA OPERACIONAL</w:t>
      </w:r>
    </w:p>
    <w:p>
      <w:pPr>
        <w:spacing w:after="160"/>
        <w:jc w:val="center"/>
      </w:pPr>
      <w:r>
        <w:rPr>
          <w:b/>
          <w:color w:val="123B47"/>
          <w:sz w:val="58"/>
        </w:rPr>
        <w:t>Manual para criação de regras</w:t>
        <w:br/>
        <w:t>de mapeamento IFC</w:t>
      </w:r>
    </w:p>
    <w:p>
      <w:pPr>
        <w:spacing w:after="1080"/>
        <w:jc w:val="center"/>
      </w:pPr>
      <w:r>
        <w:rPr>
          <w:color w:val="187A74"/>
          <w:sz w:val="28"/>
        </w:rPr>
        <w:t>Categoria autoral → classe IFC → PredefinedType</w:t>
      </w:r>
    </w:p>
    <w:p>
      <w:pPr>
        <w:jc w:val="center"/>
      </w:pPr>
      <w:r>
        <w:rPr>
          <w:b/>
          <w:sz w:val="22"/>
        </w:rPr>
        <w:t>Skill Information Manager IFC  |  OpenClaw</w:t>
      </w:r>
    </w:p>
    <w:p>
      <w:pPr>
        <w:jc w:val="center"/>
      </w:pPr>
      <w:r>
        <w:rPr>
          <w:color w:val="56666A"/>
          <w:sz w:val="19"/>
        </w:rPr>
        <w:t>Versão 1.1  •  Julho de 2026</w:t>
      </w:r>
    </w:p>
    <w:p>
      <w:r>
        <w:br w:type="page"/>
      </w:r>
    </w:p>
    <w:p>
      <w:pPr>
        <w:pStyle w:val="Heading1"/>
        <w:keepNext/>
      </w:pPr>
      <w:r>
        <w:t>Controle do documento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200"/>
        <w:gridCol w:w="7160"/>
      </w:tblGrid>
      <w:tr>
        <w:tc>
          <w:tcPr>
            <w:tcW w:type="dxa" w:w="2200"/>
            <w:shd w:fill="123B4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Campo</w:t>
            </w:r>
          </w:p>
        </w:tc>
        <w:tc>
          <w:tcPr>
            <w:tcW w:type="dxa" w:w="7160"/>
            <w:shd w:fill="123B4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Valor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color w:val="172124"/>
                <w:sz w:val="18"/>
              </w:rPr>
              <w:t>Documento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color w:val="172124"/>
                <w:sz w:val="18"/>
              </w:rPr>
              <w:t>Manual para criação de regras de mapeamento IFC</w:t>
            </w:r>
          </w:p>
        </w:tc>
      </w:tr>
      <w:tr>
        <w:tc>
          <w:tcPr>
            <w:tcW w:type="dxa" w:w="22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color w:val="172124"/>
                <w:sz w:val="18"/>
              </w:rPr>
              <w:t>Finalidade</w:t>
            </w:r>
          </w:p>
        </w:tc>
        <w:tc>
          <w:tcPr>
            <w:tcW w:type="dxa" w:w="71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color w:val="172124"/>
                <w:sz w:val="18"/>
              </w:rPr>
              <w:t>Orientar a criação, revisão, aprovação e uso da matriz JSON do IFC Mapping Validator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color w:val="172124"/>
                <w:sz w:val="18"/>
              </w:rPr>
              <w:t>Responsável pela aprovação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color w:val="172124"/>
                <w:sz w:val="18"/>
              </w:rPr>
              <w:t>Jefferson ou responsável BIM formalmente designado</w:t>
            </w:r>
          </w:p>
        </w:tc>
      </w:tr>
      <w:tr>
        <w:tc>
          <w:tcPr>
            <w:tcW w:type="dxa" w:w="22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color w:val="172124"/>
                <w:sz w:val="18"/>
              </w:rPr>
              <w:t>Escopo</w:t>
            </w:r>
          </w:p>
        </w:tc>
        <w:tc>
          <w:tcPr>
            <w:tcW w:type="dxa" w:w="71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t>Pré e pós-validação de categoria, Export As, classe IFC e PredefinedType, com solicitação controlada de ajustes no Revit</w:t>
            </w:r>
            <w:r>
              <w:rPr>
                <w:rFonts w:ascii="Calibri" w:hAnsi="Calibri"/>
                <w:b w:val="0"/>
                <w:color w:val="172124"/>
                <w:sz w:val="18"/>
              </w:rPr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color w:val="172124"/>
                <w:sz w:val="18"/>
              </w:rPr>
              <w:t>Não inclui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t>Alteração autônoma ou não aprovada do Revit/IFC; armazenamento de resultados de validação no Notion</w:t>
            </w:r>
            <w:r>
              <w:rPr>
                <w:rFonts w:ascii="Calibri" w:hAnsi="Calibri"/>
                <w:b w:val="0"/>
                <w:color w:val="172124"/>
                <w:sz w:val="18"/>
              </w:rPr>
            </w:r>
          </w:p>
        </w:tc>
      </w:tr>
    </w:tbl>
    <w:p>
      <w:pPr>
        <w:spacing w:after="0"/>
      </w:pP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FF6D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b/>
                <w:color w:val="B7791F"/>
              </w:rPr>
              <w:t xml:space="preserve">REGRA CENTRAL  </w:t>
            </w:r>
            <w:r>
              <w:t>A matriz não é uma opinião do agente. Cada regra deve nascer de um caso de uso IDM, do schema IFC aplicável e de uma decisão aprovada do projeto.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1. Objetivo e resultado esperado</w:t>
      </w:r>
    </w:p>
    <w:p>
      <w:r>
        <w:t>Este manual ensina a transformar requisitos do projeto em regras que o agente ifc-mapping-validator consegue executar de forma determinística. A regra informa quais classes IFC e quais PredefinedTypes são aceitos para uma combinação de categoria, família e tipo do modelo autoral.</w:t>
      </w:r>
    </w:p>
    <w:p>
      <w:r>
        <w:t>Ao final, você terá um arquivo JSON versionado, revisado e aprovado, capaz de orientar a auditoria antes e depois da exportação IFC.</w:t>
      </w:r>
    </w:p>
    <w:p>
      <w:pPr>
        <w:pStyle w:val="Heading1"/>
        <w:keepNext/>
      </w:pPr>
      <w:r>
        <w:t>2. Onde a regra entra no fluxo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123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D7ECE8"/>
                <w:sz w:val="16"/>
              </w:rPr>
              <w:t>IDM / caso de uso</w:t>
            </w:r>
            <w:r>
              <w:br/>
            </w:r>
            <w:r>
              <w:rPr>
                <w:rFonts w:ascii="Consolas" w:hAnsi="Consolas"/>
                <w:color w:val="D7ECE8"/>
                <w:sz w:val="16"/>
              </w:rPr>
              <w:t xml:space="preserve">      ↓</w:t>
            </w:r>
            <w:r>
              <w:br/>
            </w:r>
            <w:r>
              <w:rPr>
                <w:rFonts w:ascii="Consolas" w:hAnsi="Consolas"/>
                <w:color w:val="D7ECE8"/>
                <w:sz w:val="16"/>
              </w:rPr>
              <w:t>Matriz de regras aprovada</w:t>
            </w:r>
            <w:r>
              <w:br/>
            </w:r>
            <w:r>
              <w:rPr>
                <w:rFonts w:ascii="Consolas" w:hAnsi="Consolas"/>
                <w:color w:val="D7ECE8"/>
                <w:sz w:val="16"/>
              </w:rPr>
              <w:t xml:space="preserve">      ↓</w:t>
            </w:r>
            <w:r>
              <w:br/>
            </w:r>
            <w:r>
              <w:rPr>
                <w:rFonts w:ascii="Consolas" w:hAnsi="Consolas"/>
                <w:color w:val="D7ECE8"/>
                <w:sz w:val="16"/>
              </w:rPr>
              <w:t>CSV do modelo autoral → pré-validação</w:t>
            </w:r>
            <w:r>
              <w:br/>
            </w:r>
            <w:r>
              <w:rPr>
                <w:rFonts w:ascii="Consolas" w:hAnsi="Consolas"/>
                <w:color w:val="D7ECE8"/>
                <w:sz w:val="16"/>
              </w:rPr>
              <w:t xml:space="preserve">      ↓</w:t>
            </w:r>
            <w:r>
              <w:br/>
            </w:r>
            <w:r>
              <w:rPr>
                <w:rFonts w:ascii="Consolas" w:hAnsi="Consolas"/>
                <w:color w:val="D7ECE8"/>
                <w:sz w:val="16"/>
              </w:rPr>
              <w:t>Exportação IFC</w:t>
            </w:r>
            <w:r>
              <w:br/>
            </w:r>
            <w:r>
              <w:rPr>
                <w:rFonts w:ascii="Consolas" w:hAnsi="Consolas"/>
                <w:color w:val="D7ECE8"/>
                <w:sz w:val="16"/>
              </w:rPr>
              <w:t xml:space="preserve">      ↓</w:t>
            </w:r>
            <w:r>
              <w:br/>
            </w:r>
            <w:r>
              <w:rPr>
                <w:rFonts w:ascii="Consolas" w:hAnsi="Consolas"/>
                <w:color w:val="D7ECE8"/>
                <w:sz w:val="16"/>
              </w:rPr>
              <w:t>CSV + IFC + GlobalId → pós-validação</w:t>
            </w:r>
            <w:r>
              <w:br/>
            </w:r>
            <w:r>
              <w:rPr>
                <w:rFonts w:ascii="Consolas" w:hAnsi="Consolas"/>
                <w:color w:val="D7ECE8"/>
                <w:sz w:val="16"/>
              </w:rPr>
              <w:t xml:space="preserve">      ↓</w:t>
            </w:r>
            <w:r>
              <w:br/>
            </w:r>
            <w:r>
              <w:rPr>
                <w:rFonts w:ascii="Consolas" w:hAnsi="Consolas"/>
                <w:color w:val="D7ECE8"/>
                <w:sz w:val="16"/>
              </w:rPr>
              <w:t>Consolidação → decisão humana</w:t>
            </w:r>
          </w:p>
        </w:tc>
      </w:tr>
    </w:tbl>
    <w:p>
      <w:pPr>
        <w:spacing w:after="0"/>
      </w:pPr>
    </w:p>
    <w:p>
      <w:r>
        <w:t>O IDM define a necessidade e o critério de aceitação. A matriz traduz essa decisão para uma estrutura computável. O CSV comprova a intenção autoral. O IFC comprova o resultado exportado.</w:t>
      </w:r>
    </w:p>
    <w:p>
      <w:pPr>
        <w:pStyle w:val="Heading1"/>
        <w:keepNext/>
      </w:pPr>
      <w:r>
        <w:t>3. Conceitos que não devem ser confundidos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600"/>
        <w:gridCol w:w="5000"/>
        <w:gridCol w:w="2760"/>
      </w:tblGrid>
      <w:tr>
        <w:tc>
          <w:tcPr>
            <w:tcW w:type="dxa" w:w="1600"/>
            <w:shd w:fill="123B4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Conceito</w:t>
            </w:r>
          </w:p>
        </w:tc>
        <w:tc>
          <w:tcPr>
            <w:tcW w:type="dxa" w:w="5000"/>
            <w:shd w:fill="123B4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O que representa</w:t>
            </w:r>
          </w:p>
        </w:tc>
        <w:tc>
          <w:tcPr>
            <w:tcW w:type="dxa" w:w="2760"/>
            <w:shd w:fill="123B4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Fonte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color w:val="172124"/>
                <w:sz w:val="18"/>
              </w:rPr>
              <w:t>Categoria</w:t>
            </w:r>
          </w:p>
        </w:tc>
        <w:tc>
          <w:tcPr>
            <w:tcW w:type="dxa" w:w="5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color w:val="172124"/>
                <w:sz w:val="18"/>
              </w:rPr>
              <w:t>Agrupamento no software autoral; não é automaticamente uma classe IFC.</w:t>
            </w:r>
          </w:p>
        </w:tc>
        <w:tc>
          <w:tcPr>
            <w:tcW w:type="dxa" w:w="2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color w:val="172124"/>
                <w:sz w:val="18"/>
              </w:rPr>
              <w:t>Revit ou outro autor</w:t>
            </w:r>
          </w:p>
        </w:tc>
      </w:tr>
      <w:tr>
        <w:tc>
          <w:tcPr>
            <w:tcW w:type="dxa" w:w="16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color w:val="172124"/>
                <w:sz w:val="18"/>
              </w:rPr>
              <w:t>Export As</w:t>
            </w:r>
          </w:p>
        </w:tc>
        <w:tc>
          <w:tcPr>
            <w:tcW w:type="dxa" w:w="50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color w:val="172124"/>
                <w:sz w:val="18"/>
              </w:rPr>
              <w:t>Intenção de exportar o objeto como determinada classe IFC.</w:t>
            </w:r>
          </w:p>
        </w:tc>
        <w:tc>
          <w:tcPr>
            <w:tcW w:type="dxa" w:w="27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color w:val="172124"/>
                <w:sz w:val="18"/>
              </w:rPr>
              <w:t>Modelo autoral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color w:val="172124"/>
                <w:sz w:val="18"/>
              </w:rPr>
              <w:t>Classe IFC</w:t>
            </w:r>
          </w:p>
        </w:tc>
        <w:tc>
          <w:tcPr>
            <w:tcW w:type="dxa" w:w="5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color w:val="172124"/>
                <w:sz w:val="18"/>
              </w:rPr>
              <w:t>Entidade efetivamente criada no arquivo IFC.</w:t>
            </w:r>
          </w:p>
        </w:tc>
        <w:tc>
          <w:tcPr>
            <w:tcW w:type="dxa" w:w="2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color w:val="172124"/>
                <w:sz w:val="18"/>
              </w:rPr>
              <w:t>IFC exportado</w:t>
            </w:r>
          </w:p>
        </w:tc>
      </w:tr>
      <w:tr>
        <w:tc>
          <w:tcPr>
            <w:tcW w:type="dxa" w:w="16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color w:val="172124"/>
                <w:sz w:val="18"/>
              </w:rPr>
              <w:t>PredefinedType</w:t>
            </w:r>
          </w:p>
        </w:tc>
        <w:tc>
          <w:tcPr>
            <w:tcW w:type="dxa" w:w="50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color w:val="172124"/>
                <w:sz w:val="18"/>
              </w:rPr>
              <w:t>Especialização controlada da classe IFC.</w:t>
            </w:r>
          </w:p>
        </w:tc>
        <w:tc>
          <w:tcPr>
            <w:tcW w:type="dxa" w:w="27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color w:val="172124"/>
                <w:sz w:val="18"/>
              </w:rPr>
              <w:t>Schema IFC / IFC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color w:val="172124"/>
                <w:sz w:val="18"/>
              </w:rPr>
              <w:t>ObjectType</w:t>
            </w:r>
          </w:p>
        </w:tc>
        <w:tc>
          <w:tcPr>
            <w:tcW w:type="dxa" w:w="5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color w:val="172124"/>
                <w:sz w:val="18"/>
              </w:rPr>
              <w:t>Descrição personalizada quando PredefinedType é USERDEFINED.</w:t>
            </w:r>
          </w:p>
        </w:tc>
        <w:tc>
          <w:tcPr>
            <w:tcW w:type="dxa" w:w="2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color w:val="172124"/>
                <w:sz w:val="18"/>
              </w:rPr>
              <w:t>IFC exportado</w:t>
            </w:r>
          </w:p>
        </w:tc>
      </w:tr>
      <w:tr>
        <w:tc>
          <w:tcPr>
            <w:tcW w:type="dxa" w:w="16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color w:val="172124"/>
                <w:sz w:val="18"/>
              </w:rPr>
              <w:t>GlobalId</w:t>
            </w:r>
          </w:p>
        </w:tc>
        <w:tc>
          <w:tcPr>
            <w:tcW w:type="dxa" w:w="50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color w:val="172124"/>
                <w:sz w:val="18"/>
              </w:rPr>
              <w:t>Identificador usado para reconciliar origem e resultado.</w:t>
            </w:r>
          </w:p>
        </w:tc>
        <w:tc>
          <w:tcPr>
            <w:tcW w:type="dxa" w:w="27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color w:val="172124"/>
                <w:sz w:val="18"/>
              </w:rPr>
              <w:t>Origem + IFC</w:t>
            </w:r>
          </w:p>
        </w:tc>
      </w:tr>
    </w:tbl>
    <w:p>
      <w:pPr>
        <w:spacing w:after="0"/>
      </w:pP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BECEB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b/>
                <w:color w:val="A33A32"/>
              </w:rPr>
              <w:t xml:space="preserve">ATENÇÃO  </w:t>
            </w:r>
            <w:r>
              <w:t>Uma categoria pode admitir várias classes IFC. A regra deve considerar a função do objeto, família, tipo e caso de uso — não somente o nome da categoria.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4. Responsabilidades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200"/>
        <w:gridCol w:w="7160"/>
      </w:tblGrid>
      <w:tr>
        <w:tc>
          <w:tcPr>
            <w:tcW w:type="dxa" w:w="2200"/>
            <w:shd w:fill="123B4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Papel</w:t>
            </w:r>
          </w:p>
        </w:tc>
        <w:tc>
          <w:tcPr>
            <w:tcW w:type="dxa" w:w="7160"/>
            <w:shd w:fill="123B4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Responsabilidade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color w:val="172124"/>
                <w:sz w:val="18"/>
              </w:rPr>
              <w:t>Autor da regra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color w:val="172124"/>
                <w:sz w:val="18"/>
              </w:rPr>
              <w:t>Levantar caso de uso, schema, categorias e alternativas de mapeamento.</w:t>
            </w:r>
          </w:p>
        </w:tc>
      </w:tr>
      <w:tr>
        <w:tc>
          <w:tcPr>
            <w:tcW w:type="dxa" w:w="22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color w:val="172124"/>
                <w:sz w:val="18"/>
              </w:rPr>
              <w:t>Especialista IFC</w:t>
            </w:r>
          </w:p>
        </w:tc>
        <w:tc>
          <w:tcPr>
            <w:tcW w:type="dxa" w:w="71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color w:val="172124"/>
                <w:sz w:val="18"/>
              </w:rPr>
              <w:t>Confirmar classes, enumerações e regras de tipo/ocorrência no schema exato.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color w:val="172124"/>
                <w:sz w:val="18"/>
              </w:rPr>
              <w:t>Responsável IDM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color w:val="172124"/>
                <w:sz w:val="18"/>
              </w:rPr>
              <w:t>Confirmar finalidade, etapa, ator e requisito de troca.</w:t>
            </w:r>
          </w:p>
        </w:tc>
      </w:tr>
      <w:tr>
        <w:tc>
          <w:tcPr>
            <w:tcW w:type="dxa" w:w="22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color w:val="172124"/>
                <w:sz w:val="18"/>
              </w:rPr>
              <w:t>Jefferson/aprovador</w:t>
            </w:r>
          </w:p>
        </w:tc>
        <w:tc>
          <w:tcPr>
            <w:tcW w:type="dxa" w:w="71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color w:val="172124"/>
                <w:sz w:val="18"/>
              </w:rPr>
              <w:t>Aprovar matriz, exceções, uso de NOTDEFINED, USERDEFINED e proxies.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color w:val="172124"/>
                <w:sz w:val="18"/>
              </w:rPr>
              <w:t>Agente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color w:val="172124"/>
                <w:sz w:val="18"/>
              </w:rPr>
              <w:t>Executar a matriz sem inventar mapeamentos e reportar lacunas.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5. Processo de criação da matriz</w:t>
      </w:r>
    </w:p>
    <w:p>
      <w:pPr>
        <w:spacing w:before="140" w:after="80"/>
      </w:pPr>
      <w:r>
        <w:rPr>
          <w:b/>
          <w:color w:val="187A74"/>
        </w:rPr>
        <w:t xml:space="preserve">PASSO 01  </w:t>
      </w:r>
      <w:r>
        <w:rPr>
          <w:b/>
        </w:rPr>
        <w:t>Definir o caso de uso</w:t>
      </w:r>
    </w:p>
    <w:p>
      <w:r>
        <w:t>Registre o uso da entrega: coordenação, orçamento, fabricação, operação ou outro. Uma mesma categoria pode ter regras diferentes em casos de uso distintos.</w:t>
      </w:r>
    </w:p>
    <w:p>
      <w:pPr>
        <w:pStyle w:val="ListBullet"/>
      </w:pPr>
      <w:r>
        <w:t>Identifique o IDM e sua revisão.</w:t>
      </w:r>
    </w:p>
    <w:p>
      <w:pPr>
        <w:pStyle w:val="ListBullet"/>
      </w:pPr>
      <w:r>
        <w:t>Registre fase, disciplina, produtor, receptor e decisão apoiada.</w:t>
      </w:r>
    </w:p>
    <w:p>
      <w:pPr>
        <w:pStyle w:val="ListBullet"/>
      </w:pPr>
      <w:r>
        <w:t>Não use uma regra de outro caso de uso sem reaprovação.</w:t>
      </w:r>
    </w:p>
    <w:p>
      <w:pPr>
        <w:spacing w:before="140" w:after="80"/>
      </w:pPr>
      <w:r>
        <w:rPr>
          <w:b/>
          <w:color w:val="187A74"/>
        </w:rPr>
        <w:t xml:space="preserve">PASSO 02  </w:t>
      </w:r>
      <w:r>
        <w:rPr>
          <w:b/>
        </w:rPr>
        <w:t>Fixar o schema IFC</w:t>
      </w:r>
    </w:p>
    <w:p>
      <w:r>
        <w:t>Escolha exatamente IFC2X3, IFC4 ou IFC4X3. Classes e enumerações variam entre versões; por isso, uma matriz nunca deve declarar apenas “IFC”.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FF6D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b/>
                <w:color w:val="B7791F"/>
              </w:rPr>
              <w:t xml:space="preserve">CRITÉRIO DE PARADA  </w:t>
            </w:r>
            <w:r>
              <w:t>Se o schema da entrega não estiver definido, não crie a regra definitiva. Mantenha-a como rascunho.</w:t>
            </w:r>
          </w:p>
        </w:tc>
      </w:tr>
    </w:tbl>
    <w:p>
      <w:pPr>
        <w:spacing w:after="0"/>
      </w:pPr>
    </w:p>
    <w:p>
      <w:pPr>
        <w:spacing w:before="140" w:after="80"/>
      </w:pPr>
      <w:r>
        <w:rPr>
          <w:b/>
          <w:color w:val="187A74"/>
        </w:rPr>
        <w:t xml:space="preserve">PASSO 03  </w:t>
      </w:r>
      <w:r>
        <w:rPr>
          <w:b/>
        </w:rPr>
        <w:t>Levantar a população autoral</w:t>
      </w:r>
    </w:p>
    <w:p>
      <w:r>
        <w:t>Extraia as categorias, famílias e tipos realmente existentes no modelo. Comece pelas maiores populações e pelos objetos críticos ao caso de uso.</w:t>
      </w:r>
    </w:p>
    <w:p>
      <w:pPr>
        <w:pStyle w:val="ListBullet"/>
      </w:pPr>
      <w:r>
        <w:t>Evite criar regras para categorias que não participam do intercâmbio.</w:t>
      </w:r>
    </w:p>
    <w:p>
      <w:pPr>
        <w:pStyle w:val="ListBullet"/>
      </w:pPr>
      <w:r>
        <w:t>Separe famílias com funções diferentes, mesmo quando compartilham categoria.</w:t>
      </w:r>
    </w:p>
    <w:p>
      <w:pPr>
        <w:spacing w:before="140" w:after="80"/>
      </w:pPr>
      <w:r>
        <w:rPr>
          <w:b/>
          <w:color w:val="187A74"/>
        </w:rPr>
        <w:t xml:space="preserve">PASSO 04  </w:t>
      </w:r>
      <w:r>
        <w:rPr>
          <w:b/>
        </w:rPr>
        <w:t>Decidir se o mapeamento deve ser explícito</w:t>
      </w:r>
    </w:p>
    <w:p>
      <w:r>
        <w:t>Defina se Export to IFC As/IfcExportAs pode ficar vazio e usar o padrão do exportador ou se o projeto exige preenchimento explícito.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3500"/>
        <w:gridCol w:w="5860"/>
      </w:tblGrid>
      <w:tr>
        <w:tc>
          <w:tcPr>
            <w:tcW w:type="dxa" w:w="3500"/>
            <w:shd w:fill="123B4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Situação</w:t>
            </w:r>
          </w:p>
        </w:tc>
        <w:tc>
          <w:tcPr>
            <w:tcW w:type="dxa" w:w="5860"/>
            <w:shd w:fill="123B4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Decisão recomendada</w:t>
            </w:r>
          </w:p>
        </w:tc>
      </w:tr>
      <w:tr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color w:val="172124"/>
                <w:sz w:val="18"/>
              </w:rPr>
              <w:t>Categoria homogênea e padrão comprovado</w:t>
            </w:r>
          </w:p>
        </w:tc>
        <w:tc>
          <w:tcPr>
            <w:tcW w:type="dxa" w:w="5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color w:val="172124"/>
                <w:sz w:val="18"/>
              </w:rPr>
              <w:t>Pode permitir mapeamento padrão, com pós-validação obrigatória.</w:t>
            </w:r>
          </w:p>
        </w:tc>
      </w:tr>
      <w:tr>
        <w:tc>
          <w:tcPr>
            <w:tcW w:type="dxa" w:w="35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color w:val="172124"/>
                <w:sz w:val="18"/>
              </w:rPr>
              <w:t>Categoria genérica ou multifuncional</w:t>
            </w:r>
          </w:p>
        </w:tc>
        <w:tc>
          <w:tcPr>
            <w:tcW w:type="dxa" w:w="58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color w:val="172124"/>
                <w:sz w:val="18"/>
              </w:rPr>
              <w:t>Exigir Export As explícito.</w:t>
            </w:r>
          </w:p>
        </w:tc>
      </w:tr>
      <w:tr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color w:val="172124"/>
                <w:sz w:val="18"/>
              </w:rPr>
              <w:t>Entrega crítica para fabricação/operação</w:t>
            </w:r>
          </w:p>
        </w:tc>
        <w:tc>
          <w:tcPr>
            <w:tcW w:type="dxa" w:w="5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color w:val="172124"/>
                <w:sz w:val="18"/>
              </w:rPr>
              <w:t>Preferir regra explícita e rastreável.</w:t>
            </w:r>
          </w:p>
        </w:tc>
      </w:tr>
      <w:tr>
        <w:tc>
          <w:tcPr>
            <w:tcW w:type="dxa" w:w="35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color w:val="172124"/>
                <w:sz w:val="18"/>
              </w:rPr>
              <w:t>Resultado do exportador varia por versão</w:t>
            </w:r>
          </w:p>
        </w:tc>
        <w:tc>
          <w:tcPr>
            <w:tcW w:type="dxa" w:w="58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color w:val="172124"/>
                <w:sz w:val="18"/>
              </w:rPr>
              <w:t>Exigir versão do exportador e pós-validação.</w:t>
            </w:r>
          </w:p>
        </w:tc>
      </w:tr>
    </w:tbl>
    <w:p>
      <w:pPr>
        <w:spacing w:after="0"/>
      </w:pPr>
    </w:p>
    <w:p>
      <w:pPr>
        <w:spacing w:before="140" w:after="80"/>
      </w:pPr>
      <w:r>
        <w:rPr>
          <w:b/>
          <w:color w:val="187A74"/>
        </w:rPr>
        <w:t xml:space="preserve">PASSO 05  </w:t>
      </w:r>
      <w:r>
        <w:rPr>
          <w:b/>
        </w:rPr>
        <w:t>Definir o recorte da regra</w:t>
      </w:r>
    </w:p>
    <w:p>
      <w:r>
        <w:t>Use category, family_pattern e type_pattern. A regra mais específica vence. Use * somente quando a decisão realmente vale para todas as famílias ou tipos.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123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D7ECE8"/>
                <w:sz w:val="16"/>
              </w:rPr>
              <w:t>"category": "Mechanical Equipment",</w:t>
            </w:r>
            <w:r>
              <w:br/>
            </w:r>
            <w:r>
              <w:rPr>
                <w:rFonts w:ascii="Consolas" w:hAnsi="Consolas"/>
                <w:color w:val="D7ECE8"/>
                <w:sz w:val="16"/>
              </w:rPr>
              <w:t>"family_pattern": "*Bomba*",</w:t>
            </w:r>
            <w:r>
              <w:br/>
            </w:r>
            <w:r>
              <w:rPr>
                <w:rFonts w:ascii="Consolas" w:hAnsi="Consolas"/>
                <w:color w:val="D7ECE8"/>
                <w:sz w:val="16"/>
              </w:rPr>
              <w:t>"type_pattern": "*"</w:t>
            </w:r>
          </w:p>
        </w:tc>
      </w:tr>
    </w:tbl>
    <w:p>
      <w:pPr>
        <w:spacing w:after="0"/>
      </w:pP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BECEB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b/>
                <w:color w:val="A33A32"/>
              </w:rPr>
              <w:t xml:space="preserve">EVITE  </w:t>
            </w:r>
            <w:r>
              <w:t>Uma regra ampla como category='Generic Models', family_pattern='*' e type_pattern='*' normalmente esconde funções diferentes e deve ser dividida.</w:t>
            </w:r>
          </w:p>
        </w:tc>
      </w:tr>
    </w:tbl>
    <w:p>
      <w:pPr>
        <w:spacing w:after="0"/>
      </w:pPr>
    </w:p>
    <w:p>
      <w:pPr>
        <w:spacing w:before="140" w:after="80"/>
      </w:pPr>
      <w:r>
        <w:rPr>
          <w:b/>
          <w:color w:val="187A74"/>
        </w:rPr>
        <w:t xml:space="preserve">PASSO 06  </w:t>
      </w:r>
      <w:r>
        <w:rPr>
          <w:b/>
        </w:rPr>
        <w:t>Selecionar classes IFC permitidas</w:t>
      </w:r>
    </w:p>
    <w:p>
      <w:r>
        <w:t>Liste somente classes compatíveis com a função e existentes no schema escolhido. Uma regra pode aceitar mais de uma classe quando houver alternativas legítimas, desde que as condições estejam documentadas.</w:t>
      </w:r>
    </w:p>
    <w:p>
      <w:pPr>
        <w:pStyle w:val="ListBullet"/>
      </w:pPr>
      <w:r>
        <w:t>Verifique a documentação oficial do schema.</w:t>
      </w:r>
    </w:p>
    <w:p>
      <w:pPr>
        <w:pStyle w:val="ListBullet"/>
      </w:pPr>
      <w:r>
        <w:t>Registre a justificativa fora do JSON ou no controle de aprovação.</w:t>
      </w:r>
    </w:p>
    <w:p>
      <w:pPr>
        <w:pStyle w:val="ListBullet"/>
      </w:pPr>
      <w:r>
        <w:t>Não use IfcBuildingElementProxy como solução padrão quando existir classe específica.</w:t>
      </w:r>
    </w:p>
    <w:p>
      <w:pPr>
        <w:spacing w:before="140" w:after="80"/>
      </w:pPr>
      <w:r>
        <w:rPr>
          <w:b/>
          <w:color w:val="187A74"/>
        </w:rPr>
        <w:t xml:space="preserve">PASSO 07  </w:t>
      </w:r>
      <w:r>
        <w:rPr>
          <w:b/>
        </w:rPr>
        <w:t>Selecionar PredefinedTypes</w:t>
      </w:r>
    </w:p>
    <w:p>
      <w:r>
        <w:t>Para cada classe permitida, confirme primeiro se a entidade aplicável possui PredefinedType no schema e no nível de ocorrência/tipo analisado. Quando existir, liste somente os valores aceitos pela enumeração e restrinja-os ao caso de uso. Quando não existir — situação possível no IFC2X3 — registre que o campo não se aplica e não invente valor.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7F2F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b/>
                <w:color w:val="187A74"/>
              </w:rPr>
              <w:t xml:space="preserve">USERDEFINED  </w:t>
            </w:r>
            <w:r>
              <w:t>Quando permitido, o IFC precisa fornecer ObjectType. A matriz deve indicar a necessidade de revisão semântica do valor personalizado.</w:t>
            </w:r>
          </w:p>
        </w:tc>
      </w:tr>
    </w:tbl>
    <w:p>
      <w:pPr>
        <w:spacing w:after="0"/>
      </w:pP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FF6D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b/>
                <w:color w:val="B7791F"/>
              </w:rPr>
              <w:t xml:space="preserve">NOTDEFINED  </w:t>
            </w:r>
            <w:r>
              <w:t>Permitir NOTDEFINED é uma decisão de governança. Não o aceite implicitamente apenas porque o schema o oferece.</w:t>
            </w:r>
          </w:p>
        </w:tc>
      </w:tr>
    </w:tbl>
    <w:p>
      <w:pPr>
        <w:spacing w:after="0"/>
      </w:pPr>
    </w:p>
    <w:p>
      <w:pPr>
        <w:spacing w:before="140" w:after="80"/>
      </w:pPr>
      <w:r>
        <w:rPr>
          <w:b/>
          <w:color w:val="187A74"/>
        </w:rPr>
        <w:t xml:space="preserve">PASSO 08  </w:t>
      </w:r>
      <w:r>
        <w:rPr>
          <w:b/>
        </w:rPr>
        <w:t>Definir os requisitos de preenchimento</w:t>
      </w:r>
    </w:p>
    <w:p>
      <w:r>
        <w:t>Configure explicit_export_as, explicit_predefined_type e allow_not_defined. Use explicit_predefined_type somente quando o PredefinedType existir e for aplicável à classe e ao nível analisado no schema escolhido.</w:t>
      </w:r>
    </w:p>
    <w:p>
      <w:pPr>
        <w:spacing w:before="140" w:after="80"/>
      </w:pPr>
      <w:r>
        <w:rPr>
          <w:b/>
          <w:color w:val="187A74"/>
        </w:rPr>
        <w:t xml:space="preserve">PASSO 09  </w:t>
      </w:r>
      <w:r>
        <w:rPr>
          <w:b/>
        </w:rPr>
        <w:t>Versionar e aprovar</w:t>
      </w:r>
    </w:p>
    <w:p>
      <w:r>
        <w:t>Defina versão, schema, caso de uso e responsável. Salve a matriz como artefato controlado. Mudança em classe, PredefinedType ou política de obrigatoriedade exige nova revisão.</w:t>
      </w:r>
    </w:p>
    <w:p>
      <w:pPr>
        <w:spacing w:before="140" w:after="80"/>
      </w:pPr>
      <w:r>
        <w:rPr>
          <w:b/>
          <w:color w:val="187A74"/>
        </w:rPr>
        <w:t xml:space="preserve">PASSO 10  </w:t>
      </w:r>
      <w:r>
        <w:rPr>
          <w:b/>
        </w:rPr>
        <w:t>Testar antes de liberar</w:t>
      </w:r>
    </w:p>
    <w:p>
      <w:r>
        <w:t>Execute a matriz em uma amostra conhecida, revise falsos positivos e confirme que regras amplas não capturam objetos indevidos. Só então use no projeto inteiro.</w:t>
      </w:r>
    </w:p>
    <w:p>
      <w:pPr>
        <w:pStyle w:val="Heading1"/>
        <w:keepNext/>
      </w:pPr>
      <w:r>
        <w:t>6. Dicionário dos campos JSON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50"/>
        <w:gridCol w:w="1250"/>
        <w:gridCol w:w="5760"/>
      </w:tblGrid>
      <w:tr>
        <w:tc>
          <w:tcPr>
            <w:tcW w:type="dxa" w:w="2350"/>
            <w:shd w:fill="123B4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Campo</w:t>
            </w:r>
          </w:p>
        </w:tc>
        <w:tc>
          <w:tcPr>
            <w:tcW w:type="dxa" w:w="1250"/>
            <w:shd w:fill="123B4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Obrigatório</w:t>
            </w:r>
          </w:p>
        </w:tc>
        <w:tc>
          <w:tcPr>
            <w:tcW w:type="dxa" w:w="5760"/>
            <w:shd w:fill="123B4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Como preencher</w:t>
            </w:r>
          </w:p>
        </w:tc>
      </w:tr>
      <w:tr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color w:val="172124"/>
                <w:sz w:val="18"/>
              </w:rPr>
              <w:t>version</w:t>
            </w:r>
          </w:p>
        </w:tc>
        <w:tc>
          <w:tcPr>
            <w:tcW w:type="dxa" w:w="1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color w:val="172124"/>
                <w:sz w:val="18"/>
              </w:rPr>
              <w:t>Sim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color w:val="172124"/>
                <w:sz w:val="18"/>
              </w:rPr>
              <w:t>Revisão única da matriz, por exemplo CR001-MAP-R01.</w:t>
            </w:r>
          </w:p>
        </w:tc>
      </w:tr>
      <w:tr>
        <w:tc>
          <w:tcPr>
            <w:tcW w:type="dxa" w:w="235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color w:val="172124"/>
                <w:sz w:val="18"/>
              </w:rPr>
              <w:t>ifc_schema</w:t>
            </w:r>
          </w:p>
        </w:tc>
        <w:tc>
          <w:tcPr>
            <w:tcW w:type="dxa" w:w="125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color w:val="172124"/>
                <w:sz w:val="18"/>
              </w:rPr>
              <w:t>Sim</w:t>
            </w:r>
          </w:p>
        </w:tc>
        <w:tc>
          <w:tcPr>
            <w:tcW w:type="dxa" w:w="57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color w:val="172124"/>
                <w:sz w:val="18"/>
              </w:rPr>
              <w:t>Schema exato: IFC2X3, IFC4 ou IFC4X3.</w:t>
            </w:r>
          </w:p>
        </w:tc>
      </w:tr>
      <w:tr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color w:val="172124"/>
                <w:sz w:val="18"/>
              </w:rPr>
              <w:t>idm_use_case</w:t>
            </w:r>
          </w:p>
        </w:tc>
        <w:tc>
          <w:tcPr>
            <w:tcW w:type="dxa" w:w="1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color w:val="172124"/>
                <w:sz w:val="18"/>
              </w:rPr>
              <w:t>Recomendado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color w:val="172124"/>
                <w:sz w:val="18"/>
              </w:rPr>
              <w:t>Caso de uso e, se possível, referência ao IDM.</w:t>
            </w:r>
          </w:p>
        </w:tc>
      </w:tr>
      <w:tr>
        <w:tc>
          <w:tcPr>
            <w:tcW w:type="dxa" w:w="235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color w:val="172124"/>
                <w:sz w:val="18"/>
              </w:rPr>
              <w:t>mappings</w:t>
            </w:r>
          </w:p>
        </w:tc>
        <w:tc>
          <w:tcPr>
            <w:tcW w:type="dxa" w:w="125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color w:val="172124"/>
                <w:sz w:val="18"/>
              </w:rPr>
              <w:t>Sim</w:t>
            </w:r>
          </w:p>
        </w:tc>
        <w:tc>
          <w:tcPr>
            <w:tcW w:type="dxa" w:w="57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color w:val="172124"/>
                <w:sz w:val="18"/>
              </w:rPr>
              <w:t>Lista das regras aprovadas.</w:t>
            </w:r>
          </w:p>
        </w:tc>
      </w:tr>
      <w:tr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color w:val="172124"/>
                <w:sz w:val="18"/>
              </w:rPr>
              <w:t>rule_id</w:t>
            </w:r>
          </w:p>
        </w:tc>
        <w:tc>
          <w:tcPr>
            <w:tcW w:type="dxa" w:w="1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color w:val="172124"/>
                <w:sz w:val="18"/>
              </w:rPr>
              <w:t>Sim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color w:val="172124"/>
                <w:sz w:val="18"/>
              </w:rPr>
              <w:t>Identificador estável e único.</w:t>
            </w:r>
          </w:p>
        </w:tc>
      </w:tr>
      <w:tr>
        <w:tc>
          <w:tcPr>
            <w:tcW w:type="dxa" w:w="235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color w:val="172124"/>
                <w:sz w:val="18"/>
              </w:rPr>
              <w:t>category</w:t>
            </w:r>
          </w:p>
        </w:tc>
        <w:tc>
          <w:tcPr>
            <w:tcW w:type="dxa" w:w="125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color w:val="172124"/>
                <w:sz w:val="18"/>
              </w:rPr>
              <w:t>Sim</w:t>
            </w:r>
          </w:p>
        </w:tc>
        <w:tc>
          <w:tcPr>
            <w:tcW w:type="dxa" w:w="57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color w:val="172124"/>
                <w:sz w:val="18"/>
              </w:rPr>
              <w:t>Categoria autoral; aceita padrão com * quando justificado.</w:t>
            </w:r>
          </w:p>
        </w:tc>
      </w:tr>
      <w:tr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color w:val="172124"/>
                <w:sz w:val="18"/>
              </w:rPr>
              <w:t>family_pattern</w:t>
            </w:r>
          </w:p>
        </w:tc>
        <w:tc>
          <w:tcPr>
            <w:tcW w:type="dxa" w:w="1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color w:val="172124"/>
                <w:sz w:val="18"/>
              </w:rPr>
              <w:t>Não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color w:val="172124"/>
                <w:sz w:val="18"/>
              </w:rPr>
              <w:t>Filtro de família; padrão *.</w:t>
            </w:r>
          </w:p>
        </w:tc>
      </w:tr>
      <w:tr>
        <w:tc>
          <w:tcPr>
            <w:tcW w:type="dxa" w:w="235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color w:val="172124"/>
                <w:sz w:val="18"/>
              </w:rPr>
              <w:t>type_pattern</w:t>
            </w:r>
          </w:p>
        </w:tc>
        <w:tc>
          <w:tcPr>
            <w:tcW w:type="dxa" w:w="125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color w:val="172124"/>
                <w:sz w:val="18"/>
              </w:rPr>
              <w:t>Não</w:t>
            </w:r>
          </w:p>
        </w:tc>
        <w:tc>
          <w:tcPr>
            <w:tcW w:type="dxa" w:w="57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color w:val="172124"/>
                <w:sz w:val="18"/>
              </w:rPr>
              <w:t>Filtro de tipo; padrão *.</w:t>
            </w:r>
          </w:p>
        </w:tc>
      </w:tr>
      <w:tr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color w:val="172124"/>
                <w:sz w:val="18"/>
              </w:rPr>
              <w:t>not_applicable</w:t>
            </w:r>
          </w:p>
        </w:tc>
        <w:tc>
          <w:tcPr>
            <w:tcW w:type="dxa" w:w="1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color w:val="172124"/>
                <w:sz w:val="18"/>
              </w:rPr>
              <w:t>Não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color w:val="172124"/>
                <w:sz w:val="18"/>
              </w:rPr>
              <w:t>true quando a população está fora do intercâmbio.</w:t>
            </w:r>
          </w:p>
        </w:tc>
      </w:tr>
      <w:tr>
        <w:tc>
          <w:tcPr>
            <w:tcW w:type="dxa" w:w="235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color w:val="172124"/>
                <w:sz w:val="18"/>
              </w:rPr>
              <w:t>allowed_mappings</w:t>
            </w:r>
          </w:p>
        </w:tc>
        <w:tc>
          <w:tcPr>
            <w:tcW w:type="dxa" w:w="125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color w:val="172124"/>
                <w:sz w:val="18"/>
              </w:rPr>
              <w:t>Sim</w:t>
            </w:r>
          </w:p>
        </w:tc>
        <w:tc>
          <w:tcPr>
            <w:tcW w:type="dxa" w:w="57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color w:val="172124"/>
                <w:sz w:val="18"/>
              </w:rPr>
              <w:t>Classes e PredefinedTypes aceitos.</w:t>
            </w:r>
          </w:p>
        </w:tc>
      </w:tr>
      <w:tr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color w:val="172124"/>
                <w:sz w:val="18"/>
              </w:rPr>
              <w:t>ifc_class</w:t>
            </w:r>
          </w:p>
        </w:tc>
        <w:tc>
          <w:tcPr>
            <w:tcW w:type="dxa" w:w="1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color w:val="172124"/>
                <w:sz w:val="18"/>
              </w:rPr>
              <w:t>Sim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color w:val="172124"/>
                <w:sz w:val="18"/>
              </w:rPr>
              <w:t>Classe com prefixo Ifc e capitalização oficial.</w:t>
            </w:r>
          </w:p>
        </w:tc>
      </w:tr>
      <w:tr>
        <w:tc>
          <w:tcPr>
            <w:tcW w:type="dxa" w:w="235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color w:val="172124"/>
                <w:sz w:val="18"/>
              </w:rPr>
              <w:t>predefined_types</w:t>
            </w:r>
          </w:p>
        </w:tc>
        <w:tc>
          <w:tcPr>
            <w:tcW w:type="dxa" w:w="125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color w:val="172124"/>
                <w:sz w:val="18"/>
              </w:rPr>
              <w:t>Sim</w:t>
            </w:r>
          </w:p>
        </w:tc>
        <w:tc>
          <w:tcPr>
            <w:tcW w:type="dxa" w:w="57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t>Lista de valores aceitos para a classe; use lista vazia quando PredefinedType não for aplicável no schema e documente a decisão.</w:t>
            </w:r>
            <w:r>
              <w:rPr>
                <w:rFonts w:ascii="Calibri" w:hAnsi="Calibri"/>
                <w:b w:val="0"/>
                <w:color w:val="172124"/>
                <w:sz w:val="18"/>
              </w:rPr>
            </w:r>
          </w:p>
        </w:tc>
      </w:tr>
      <w:tr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color w:val="172124"/>
                <w:sz w:val="18"/>
              </w:rPr>
              <w:t>explicit_export_as</w:t>
            </w:r>
          </w:p>
        </w:tc>
        <w:tc>
          <w:tcPr>
            <w:tcW w:type="dxa" w:w="1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color w:val="172124"/>
                <w:sz w:val="18"/>
              </w:rPr>
              <w:t>Não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color w:val="172124"/>
                <w:sz w:val="18"/>
              </w:rPr>
              <w:t>true para exigir classe explícita na origem.</w:t>
            </w:r>
          </w:p>
        </w:tc>
      </w:tr>
      <w:tr>
        <w:tc>
          <w:tcPr>
            <w:tcW w:type="dxa" w:w="235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color w:val="172124"/>
                <w:sz w:val="18"/>
              </w:rPr>
              <w:t>explicit_predefined_type</w:t>
            </w:r>
          </w:p>
        </w:tc>
        <w:tc>
          <w:tcPr>
            <w:tcW w:type="dxa" w:w="125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color w:val="172124"/>
                <w:sz w:val="18"/>
              </w:rPr>
              <w:t>Não</w:t>
            </w:r>
          </w:p>
        </w:tc>
        <w:tc>
          <w:tcPr>
            <w:tcW w:type="dxa" w:w="57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t>true para exigir PredefinedType explícito na origem, somente quando suportado e aplicável no schema.</w:t>
            </w:r>
            <w:r>
              <w:rPr>
                <w:rFonts w:ascii="Calibri" w:hAnsi="Calibri"/>
                <w:b w:val="0"/>
                <w:color w:val="172124"/>
                <w:sz w:val="18"/>
              </w:rPr>
            </w:r>
          </w:p>
        </w:tc>
      </w:tr>
      <w:tr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color w:val="172124"/>
                <w:sz w:val="18"/>
              </w:rPr>
              <w:t>allow_not_defined</w:t>
            </w:r>
          </w:p>
        </w:tc>
        <w:tc>
          <w:tcPr>
            <w:tcW w:type="dxa" w:w="1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color w:val="172124"/>
                <w:sz w:val="18"/>
              </w:rPr>
              <w:t>Não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color w:val="172124"/>
                <w:sz w:val="18"/>
              </w:rPr>
              <w:t>true somente quando NOTDEFINED tiver aprovação.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7. Exemplo completo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FF6D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b/>
                <w:color w:val="B7791F"/>
              </w:rPr>
              <w:t xml:space="preserve">EXEMPLO DIDÁTICO  </w:t>
            </w:r>
            <w:r>
              <w:t>Os valores abaixo demonstram a estrutura. Antes do uso real, confirme classe e enumerações no schema aplicável e aprove a regra no projeto.</w:t>
            </w:r>
          </w:p>
        </w:tc>
      </w:tr>
    </w:tbl>
    <w:p>
      <w:pPr>
        <w:spacing w:after="0"/>
      </w:pP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123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D7ECE8"/>
                <w:sz w:val="16"/>
              </w:rPr>
              <w:t>{</w:t>
            </w:r>
            <w:r>
              <w:br/>
            </w:r>
            <w:r>
              <w:rPr>
                <w:rFonts w:ascii="Consolas" w:hAnsi="Consolas"/>
                <w:color w:val="D7ECE8"/>
                <w:sz w:val="16"/>
              </w:rPr>
              <w:t xml:space="preserve">  "version": "CR001-MAP-R01",</w:t>
            </w:r>
            <w:r>
              <w:br/>
            </w:r>
            <w:r>
              <w:rPr>
                <w:rFonts w:ascii="Consolas" w:hAnsi="Consolas"/>
                <w:color w:val="D7ECE8"/>
                <w:sz w:val="16"/>
              </w:rPr>
              <w:t xml:space="preserve">  "ifc_schema": "IFC4",</w:t>
            </w:r>
            <w:r>
              <w:br/>
            </w:r>
            <w:r>
              <w:rPr>
                <w:rFonts w:ascii="Consolas" w:hAnsi="Consolas"/>
                <w:color w:val="D7ECE8"/>
                <w:sz w:val="16"/>
              </w:rPr>
              <w:t xml:space="preserve">  "idm_use_case": "Orçamento executivo",</w:t>
            </w:r>
            <w:r>
              <w:br/>
            </w:r>
            <w:r>
              <w:rPr>
                <w:rFonts w:ascii="Consolas" w:hAnsi="Consolas"/>
                <w:color w:val="D7ECE8"/>
                <w:sz w:val="16"/>
              </w:rPr>
              <w:t xml:space="preserve">  "mappings": [</w:t>
            </w:r>
            <w:r>
              <w:br/>
            </w:r>
            <w:r>
              <w:rPr>
                <w:rFonts w:ascii="Consolas" w:hAnsi="Consolas"/>
                <w:color w:val="D7ECE8"/>
                <w:sz w:val="16"/>
              </w:rPr>
              <w:t xml:space="preserve">    {</w:t>
            </w:r>
            <w:r>
              <w:br/>
            </w:r>
            <w:r>
              <w:rPr>
                <w:rFonts w:ascii="Consolas" w:hAnsi="Consolas"/>
                <w:color w:val="D7ECE8"/>
                <w:sz w:val="16"/>
              </w:rPr>
              <w:t xml:space="preserve">      "rule_id": "MAP-ARQ-001",</w:t>
            </w:r>
            <w:r>
              <w:br/>
            </w:r>
            <w:r>
              <w:rPr>
                <w:rFonts w:ascii="Consolas" w:hAnsi="Consolas"/>
                <w:color w:val="D7ECE8"/>
                <w:sz w:val="16"/>
              </w:rPr>
              <w:t xml:space="preserve">      "category": "Walls",</w:t>
            </w:r>
            <w:r>
              <w:br/>
            </w:r>
            <w:r>
              <w:rPr>
                <w:rFonts w:ascii="Consolas" w:hAnsi="Consolas"/>
                <w:color w:val="D7ECE8"/>
                <w:sz w:val="16"/>
              </w:rPr>
              <w:t xml:space="preserve">      "family_pattern": "*",</w:t>
            </w:r>
            <w:r>
              <w:br/>
            </w:r>
            <w:r>
              <w:rPr>
                <w:rFonts w:ascii="Consolas" w:hAnsi="Consolas"/>
                <w:color w:val="D7ECE8"/>
                <w:sz w:val="16"/>
              </w:rPr>
              <w:t xml:space="preserve">      "type_pattern": "*",</w:t>
            </w:r>
            <w:r>
              <w:br/>
            </w:r>
            <w:r>
              <w:rPr>
                <w:rFonts w:ascii="Consolas" w:hAnsi="Consolas"/>
                <w:color w:val="D7ECE8"/>
                <w:sz w:val="16"/>
              </w:rPr>
              <w:t xml:space="preserve">      "allowed_mappings": [</w:t>
            </w:r>
            <w:r>
              <w:br/>
            </w:r>
            <w:r>
              <w:rPr>
                <w:rFonts w:ascii="Consolas" w:hAnsi="Consolas"/>
                <w:color w:val="D7ECE8"/>
                <w:sz w:val="16"/>
              </w:rPr>
              <w:t xml:space="preserve">        {</w:t>
            </w:r>
            <w:r>
              <w:br/>
            </w:r>
            <w:r>
              <w:rPr>
                <w:rFonts w:ascii="Consolas" w:hAnsi="Consolas"/>
                <w:color w:val="D7ECE8"/>
                <w:sz w:val="16"/>
              </w:rPr>
              <w:t xml:space="preserve">          "ifc_class": "IfcWall",</w:t>
            </w:r>
            <w:r>
              <w:br/>
            </w:r>
            <w:r>
              <w:rPr>
                <w:rFonts w:ascii="Consolas" w:hAnsi="Consolas"/>
                <w:color w:val="D7ECE8"/>
                <w:sz w:val="16"/>
              </w:rPr>
              <w:t xml:space="preserve">          "predefined_types": ["STANDARD", "USERDEFINED"]</w:t>
            </w:r>
            <w:r>
              <w:br/>
            </w:r>
            <w:r>
              <w:rPr>
                <w:rFonts w:ascii="Consolas" w:hAnsi="Consolas"/>
                <w:color w:val="D7ECE8"/>
                <w:sz w:val="16"/>
              </w:rPr>
              <w:t xml:space="preserve">        }</w:t>
            </w:r>
            <w:r>
              <w:br/>
            </w:r>
            <w:r>
              <w:rPr>
                <w:rFonts w:ascii="Consolas" w:hAnsi="Consolas"/>
                <w:color w:val="D7ECE8"/>
                <w:sz w:val="16"/>
              </w:rPr>
              <w:t xml:space="preserve">      ],</w:t>
            </w:r>
            <w:r>
              <w:br/>
            </w:r>
            <w:r>
              <w:rPr>
                <w:rFonts w:ascii="Consolas" w:hAnsi="Consolas"/>
                <w:color w:val="D7ECE8"/>
                <w:sz w:val="16"/>
              </w:rPr>
              <w:t xml:space="preserve">      "requirements": {</w:t>
            </w:r>
            <w:r>
              <w:br/>
            </w:r>
            <w:r>
              <w:rPr>
                <w:rFonts w:ascii="Consolas" w:hAnsi="Consolas"/>
                <w:color w:val="D7ECE8"/>
                <w:sz w:val="16"/>
              </w:rPr>
              <w:t xml:space="preserve">        "explicit_export_as": true,</w:t>
            </w:r>
            <w:r>
              <w:br/>
            </w:r>
            <w:r>
              <w:rPr>
                <w:rFonts w:ascii="Consolas" w:hAnsi="Consolas"/>
                <w:color w:val="D7ECE8"/>
                <w:sz w:val="16"/>
              </w:rPr>
              <w:t xml:space="preserve">        "explicit_predefined_type": true,</w:t>
            </w:r>
            <w:r>
              <w:br/>
            </w:r>
            <w:r>
              <w:rPr>
                <w:rFonts w:ascii="Consolas" w:hAnsi="Consolas"/>
                <w:color w:val="D7ECE8"/>
                <w:sz w:val="16"/>
              </w:rPr>
              <w:t xml:space="preserve">        "allow_not_defined": false</w:t>
            </w:r>
            <w:r>
              <w:br/>
            </w:r>
            <w:r>
              <w:rPr>
                <w:rFonts w:ascii="Consolas" w:hAnsi="Consolas"/>
                <w:color w:val="D7ECE8"/>
                <w:sz w:val="16"/>
              </w:rPr>
              <w:t xml:space="preserve">      }</w:t>
            </w:r>
            <w:r>
              <w:br/>
            </w:r>
            <w:r>
              <w:rPr>
                <w:rFonts w:ascii="Consolas" w:hAnsi="Consolas"/>
                <w:color w:val="D7ECE8"/>
                <w:sz w:val="16"/>
              </w:rPr>
              <w:t xml:space="preserve">    }</w:t>
            </w:r>
            <w:r>
              <w:br/>
            </w:r>
            <w:r>
              <w:rPr>
                <w:rFonts w:ascii="Consolas" w:hAnsi="Consolas"/>
                <w:color w:val="D7ECE8"/>
                <w:sz w:val="16"/>
              </w:rPr>
              <w:t xml:space="preserve">  ]</w:t>
            </w:r>
            <w:r>
              <w:br/>
            </w:r>
            <w:r>
              <w:rPr>
                <w:rFonts w:ascii="Consolas" w:hAnsi="Consolas"/>
                <w:color w:val="D7ECE8"/>
                <w:sz w:val="16"/>
              </w:rPr>
              <w:t>}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8. Como decidir a granularidade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123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D7ECE8"/>
                <w:sz w:val="16"/>
              </w:rPr>
              <w:t>Categoria possui uma única função no caso de uso?</w:t>
            </w:r>
            <w:r>
              <w:br/>
            </w:r>
            <w:r>
              <w:rPr>
                <w:rFonts w:ascii="Consolas" w:hAnsi="Consolas"/>
                <w:color w:val="D7ECE8"/>
                <w:sz w:val="16"/>
              </w:rPr>
              <w:t xml:space="preserve">  ├─ Sim → regra por categoria pode bastar</w:t>
            </w:r>
            <w:r>
              <w:br/>
            </w:r>
            <w:r>
              <w:rPr>
                <w:rFonts w:ascii="Consolas" w:hAnsi="Consolas"/>
                <w:color w:val="D7ECE8"/>
                <w:sz w:val="16"/>
              </w:rPr>
              <w:t xml:space="preserve">  └─ Não → famílias diferenciam a função?</w:t>
            </w:r>
            <w:r>
              <w:br/>
            </w:r>
            <w:r>
              <w:rPr>
                <w:rFonts w:ascii="Consolas" w:hAnsi="Consolas"/>
                <w:color w:val="D7ECE8"/>
                <w:sz w:val="16"/>
              </w:rPr>
              <w:t xml:space="preserve">           ├─ Sim → criar regras por family_pattern</w:t>
            </w:r>
            <w:r>
              <w:br/>
            </w:r>
            <w:r>
              <w:rPr>
                <w:rFonts w:ascii="Consolas" w:hAnsi="Consolas"/>
                <w:color w:val="D7ECE8"/>
                <w:sz w:val="16"/>
              </w:rPr>
              <w:t xml:space="preserve">           └─ Não → tipos diferenciam a função?</w:t>
            </w:r>
            <w:r>
              <w:br/>
            </w:r>
            <w:r>
              <w:rPr>
                <w:rFonts w:ascii="Consolas" w:hAnsi="Consolas"/>
                <w:color w:val="D7ECE8"/>
                <w:sz w:val="16"/>
              </w:rPr>
              <w:t xml:space="preserve">                    ├─ Sim → criar regras por type_pattern</w:t>
            </w:r>
            <w:r>
              <w:br/>
            </w:r>
            <w:r>
              <w:rPr>
                <w:rFonts w:ascii="Consolas" w:hAnsi="Consolas"/>
                <w:color w:val="D7ECE8"/>
                <w:sz w:val="16"/>
              </w:rPr>
              <w:t xml:space="preserve">                    └─ Não → revisão humana / melhorar classificação autoral</w:t>
            </w:r>
          </w:p>
        </w:tc>
      </w:tr>
    </w:tbl>
    <w:p>
      <w:pPr>
        <w:spacing w:after="0"/>
      </w:pPr>
    </w:p>
    <w:p>
      <w:r>
        <w:t>Quanto mais genérica a categoria, maior deve ser a especificidade por família ou tipo. Uma regra ampla é simples de manter, mas perigosa quando mistura funções.</w:t>
      </w:r>
    </w:p>
    <w:p>
      <w:pPr>
        <w:pStyle w:val="Heading1"/>
        <w:keepNext/>
      </w:pPr>
      <w:r>
        <w:t>9. Preparação do CSV autoral</w:t>
      </w:r>
    </w:p>
    <w:p>
      <w:r>
        <w:t>Use o template ifc-mapping-source-template.csv. O cabeçalho deve permanecer exatamente: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123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D7ECE8"/>
                <w:sz w:val="16"/>
              </w:rPr>
              <w:t>element_id,global_id,category,family,type,export_as,predefined_type</w:t>
            </w:r>
          </w:p>
        </w:tc>
      </w:tr>
    </w:tbl>
    <w:p>
      <w:pPr>
        <w:spacing w:after="0"/>
      </w:pP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200"/>
        <w:gridCol w:w="7160"/>
      </w:tblGrid>
      <w:tr>
        <w:tc>
          <w:tcPr>
            <w:tcW w:type="dxa" w:w="2200"/>
            <w:shd w:fill="123B4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Coluna</w:t>
            </w:r>
          </w:p>
        </w:tc>
        <w:tc>
          <w:tcPr>
            <w:tcW w:type="dxa" w:w="7160"/>
            <w:shd w:fill="123B4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Uso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color w:val="172124"/>
                <w:sz w:val="18"/>
              </w:rPr>
              <w:t>element_id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color w:val="172124"/>
                <w:sz w:val="18"/>
              </w:rPr>
              <w:t>Rastrear o objeto no modelo autoral.</w:t>
            </w:r>
          </w:p>
        </w:tc>
      </w:tr>
      <w:tr>
        <w:tc>
          <w:tcPr>
            <w:tcW w:type="dxa" w:w="22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color w:val="172124"/>
                <w:sz w:val="18"/>
              </w:rPr>
              <w:t>global_id</w:t>
            </w:r>
          </w:p>
        </w:tc>
        <w:tc>
          <w:tcPr>
            <w:tcW w:type="dxa" w:w="71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color w:val="172124"/>
                <w:sz w:val="18"/>
              </w:rPr>
              <w:t>Relacionar a origem ao IFC; pode estar vazio na pré-validação.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color w:val="172124"/>
                <w:sz w:val="18"/>
              </w:rPr>
              <w:t>category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color w:val="172124"/>
                <w:sz w:val="18"/>
              </w:rPr>
              <w:t>Selecionar a regra.</w:t>
            </w:r>
          </w:p>
        </w:tc>
      </w:tr>
      <w:tr>
        <w:tc>
          <w:tcPr>
            <w:tcW w:type="dxa" w:w="22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color w:val="172124"/>
                <w:sz w:val="18"/>
              </w:rPr>
              <w:t>family</w:t>
            </w:r>
          </w:p>
        </w:tc>
        <w:tc>
          <w:tcPr>
            <w:tcW w:type="dxa" w:w="71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color w:val="172124"/>
                <w:sz w:val="18"/>
              </w:rPr>
              <w:t>Refinar a regra.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color w:val="172124"/>
                <w:sz w:val="18"/>
              </w:rPr>
              <w:t>type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color w:val="172124"/>
                <w:sz w:val="18"/>
              </w:rPr>
              <w:t>Refinar a regra.</w:t>
            </w:r>
          </w:p>
        </w:tc>
      </w:tr>
      <w:tr>
        <w:tc>
          <w:tcPr>
            <w:tcW w:type="dxa" w:w="22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color w:val="172124"/>
                <w:sz w:val="18"/>
              </w:rPr>
              <w:t>export_as</w:t>
            </w:r>
          </w:p>
        </w:tc>
        <w:tc>
          <w:tcPr>
            <w:tcW w:type="dxa" w:w="71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color w:val="172124"/>
                <w:sz w:val="18"/>
              </w:rPr>
              <w:t>Registrar classe pretendida.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color w:val="172124"/>
                <w:sz w:val="18"/>
              </w:rPr>
              <w:t>predefined_type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color w:val="172124"/>
                <w:sz w:val="18"/>
              </w:rPr>
              <w:t>Registrar especialização pretendida.</w:t>
            </w:r>
          </w:p>
        </w:tc>
      </w:tr>
    </w:tbl>
    <w:p>
      <w:pPr>
        <w:spacing w:after="0"/>
      </w:pP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BECEB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b/>
                <w:color w:val="A33A32"/>
              </w:rPr>
              <w:t xml:space="preserve">RECONCILIAÇÃO  </w:t>
            </w:r>
            <w:r>
              <w:t>Sem GlobalId comum entre CSV e IFC, a pós-validação deve marcar a correspondência como NAO_VERIFICAVEL.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10. Execução</w:t>
      </w:r>
    </w:p>
    <w:p>
      <w:pPr>
        <w:pStyle w:val="Heading2"/>
        <w:keepNext/>
      </w:pPr>
      <w:r>
        <w:t>10.1 Pré-exportação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123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D7ECE8"/>
                <w:sz w:val="16"/>
              </w:rPr>
              <w:t>python scripts/ifc_mapping_validator.py   --source-csv modelo-autoral.csv   --rules regras-cr001.json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10.2 Pós-exportação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123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D7ECE8"/>
                <w:sz w:val="16"/>
              </w:rPr>
              <w:t>python scripts/ifc_mapping_validator.py   --source-csv modelo-autoral.csv   --rules regras-cr001.json   --ifc modelo-exportado.ifc   --output resultado-mapeamento.json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10.3 Solicitação ao OpenClaw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123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D7ECE8"/>
                <w:sz w:val="16"/>
              </w:rPr>
              <w:t>Acione ifc-mapping-validator com o CSV autoral,</w:t>
            </w:r>
            <w:r>
              <w:br/>
            </w:r>
            <w:r>
              <w:rPr>
                <w:rFonts w:ascii="Consolas" w:hAnsi="Consolas"/>
                <w:color w:val="D7ECE8"/>
                <w:sz w:val="16"/>
              </w:rPr>
              <w:t>a matriz aprovada e o IFC. Valide preenchimento,</w:t>
            </w:r>
            <w:r>
              <w:br/>
            </w:r>
            <w:r>
              <w:rPr>
                <w:rFonts w:ascii="Consolas" w:hAnsi="Consolas"/>
                <w:color w:val="D7ECE8"/>
                <w:sz w:val="16"/>
              </w:rPr>
              <w:t>classe resultante, PredefinedType efetivo e cobertura.</w:t>
            </w:r>
            <w:r>
              <w:br/>
            </w:r>
            <w:r>
              <w:rPr>
                <w:rFonts w:ascii="Consolas" w:hAnsi="Consolas"/>
                <w:color w:val="D7ECE8"/>
                <w:sz w:val="16"/>
              </w:rPr>
              <w:t>Não invente regras e não altere arquivos.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11. Interpretação dos resultados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100"/>
        <w:gridCol w:w="4160"/>
        <w:gridCol w:w="3100"/>
      </w:tblGrid>
      <w:tr>
        <w:tc>
          <w:tcPr>
            <w:tcW w:type="dxa" w:w="2100"/>
            <w:shd w:fill="123B4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Estado</w:t>
            </w:r>
          </w:p>
        </w:tc>
        <w:tc>
          <w:tcPr>
            <w:tcW w:type="dxa" w:w="4160"/>
            <w:shd w:fill="123B4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Interpretação</w:t>
            </w:r>
          </w:p>
        </w:tc>
        <w:tc>
          <w:tcPr>
            <w:tcW w:type="dxa" w:w="3100"/>
            <w:shd w:fill="123B4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Ação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color w:val="172124"/>
                <w:sz w:val="18"/>
              </w:rPr>
              <w:t>CONFORME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color w:val="172124"/>
                <w:sz w:val="18"/>
              </w:rPr>
              <w:t>Origem e resultado atendem à matriz.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color w:val="172124"/>
                <w:sz w:val="18"/>
              </w:rPr>
              <w:t>Aceitar evidência.</w:t>
            </w:r>
          </w:p>
        </w:tc>
      </w:tr>
      <w:tr>
        <w:tc>
          <w:tcPr>
            <w:tcW w:type="dxa" w:w="21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color w:val="172124"/>
                <w:sz w:val="18"/>
              </w:rPr>
              <w:t>CONFORME_POR_PADRAO</w:t>
            </w:r>
          </w:p>
        </w:tc>
        <w:tc>
          <w:tcPr>
            <w:tcW w:type="dxa" w:w="41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color w:val="172124"/>
                <w:sz w:val="18"/>
              </w:rPr>
              <w:t>Campo vazio permitido e resultado correto.</w:t>
            </w:r>
          </w:p>
        </w:tc>
        <w:tc>
          <w:tcPr>
            <w:tcW w:type="dxa" w:w="31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color w:val="172124"/>
                <w:sz w:val="18"/>
              </w:rPr>
              <w:t>Registrar dependência do exportador.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color w:val="172124"/>
                <w:sz w:val="18"/>
              </w:rPr>
              <w:t>INCOMPLETO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color w:val="172124"/>
                <w:sz w:val="18"/>
              </w:rPr>
              <w:t>Campo ou valor obrigatório ausente.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color w:val="172124"/>
                <w:sz w:val="18"/>
              </w:rPr>
              <w:t>Corrigir origem.</w:t>
            </w:r>
          </w:p>
        </w:tc>
      </w:tr>
      <w:tr>
        <w:tc>
          <w:tcPr>
            <w:tcW w:type="dxa" w:w="21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color w:val="172124"/>
                <w:sz w:val="18"/>
              </w:rPr>
              <w:t>INCOERENTE</w:t>
            </w:r>
          </w:p>
        </w:tc>
        <w:tc>
          <w:tcPr>
            <w:tcW w:type="dxa" w:w="41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color w:val="172124"/>
                <w:sz w:val="18"/>
              </w:rPr>
              <w:t>Classe ou tipo não permitido.</w:t>
            </w:r>
          </w:p>
        </w:tc>
        <w:tc>
          <w:tcPr>
            <w:tcW w:type="dxa" w:w="31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color w:val="172124"/>
                <w:sz w:val="18"/>
              </w:rPr>
              <w:t>Corrigir ou revisar a regra.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color w:val="172124"/>
                <w:sz w:val="18"/>
              </w:rPr>
              <w:t>NAO_EXPORTADO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color w:val="172124"/>
                <w:sz w:val="18"/>
              </w:rPr>
              <w:t>GlobalId esperado não encontrado.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color w:val="172124"/>
                <w:sz w:val="18"/>
              </w:rPr>
              <w:t>Investigar exportação.</w:t>
            </w:r>
          </w:p>
        </w:tc>
      </w:tr>
      <w:tr>
        <w:tc>
          <w:tcPr>
            <w:tcW w:type="dxa" w:w="21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color w:val="172124"/>
                <w:sz w:val="18"/>
              </w:rPr>
              <w:t>NAO_APLICAVEL</w:t>
            </w:r>
          </w:p>
        </w:tc>
        <w:tc>
          <w:tcPr>
            <w:tcW w:type="dxa" w:w="41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color w:val="172124"/>
                <w:sz w:val="18"/>
              </w:rPr>
              <w:t>Fora do caso de uso.</w:t>
            </w:r>
          </w:p>
        </w:tc>
        <w:tc>
          <w:tcPr>
            <w:tcW w:type="dxa" w:w="31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color w:val="172124"/>
                <w:sz w:val="18"/>
              </w:rPr>
              <w:t>Não contabilizar como falha.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color w:val="172124"/>
                <w:sz w:val="18"/>
              </w:rPr>
              <w:t>NAO_VERIFICAVEL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color w:val="172124"/>
                <w:sz w:val="18"/>
              </w:rPr>
              <w:t>Evidência insuficiente.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color w:val="172124"/>
                <w:sz w:val="18"/>
              </w:rPr>
              <w:t>Fornecer CSV, IFC ou identificador.</w:t>
            </w:r>
          </w:p>
        </w:tc>
      </w:tr>
      <w:tr>
        <w:tc>
          <w:tcPr>
            <w:tcW w:type="dxa" w:w="21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color w:val="172124"/>
                <w:sz w:val="18"/>
              </w:rPr>
              <w:t>REVISAO_HUMANA</w:t>
            </w:r>
          </w:p>
        </w:tc>
        <w:tc>
          <w:tcPr>
            <w:tcW w:type="dxa" w:w="41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color w:val="172124"/>
                <w:sz w:val="18"/>
              </w:rPr>
              <w:t>Não existe regra aplicável.</w:t>
            </w:r>
          </w:p>
        </w:tc>
        <w:tc>
          <w:tcPr>
            <w:tcW w:type="dxa" w:w="31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color w:val="172124"/>
                <w:sz w:val="18"/>
              </w:rPr>
              <w:t>Criar/aprovar regra antes de concluir.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12. Erros comuns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800"/>
        <w:gridCol w:w="3000"/>
        <w:gridCol w:w="3560"/>
      </w:tblGrid>
      <w:tr>
        <w:tc>
          <w:tcPr>
            <w:tcW w:type="dxa" w:w="2800"/>
            <w:shd w:fill="123B4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Erro</w:t>
            </w:r>
          </w:p>
        </w:tc>
        <w:tc>
          <w:tcPr>
            <w:tcW w:type="dxa" w:w="3000"/>
            <w:shd w:fill="123B4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Risco</w:t>
            </w:r>
          </w:p>
        </w:tc>
        <w:tc>
          <w:tcPr>
            <w:tcW w:type="dxa" w:w="3560"/>
            <w:shd w:fill="123B4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Correção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color w:val="172124"/>
                <w:sz w:val="18"/>
              </w:rPr>
              <w:t>Tratar categoria como classe IFC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color w:val="172124"/>
                <w:sz w:val="18"/>
              </w:rPr>
              <w:t>Classificação semântica incorreta.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color w:val="172124"/>
                <w:sz w:val="18"/>
              </w:rPr>
              <w:t>Considerar função, família, tipo e IDM.</w:t>
            </w:r>
          </w:p>
        </w:tc>
      </w:tr>
      <w:tr>
        <w:tc>
          <w:tcPr>
            <w:tcW w:type="dxa" w:w="2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color w:val="172124"/>
                <w:sz w:val="18"/>
              </w:rPr>
              <w:t>Exigir todos os campos preenchidos</w:t>
            </w:r>
          </w:p>
        </w:tc>
        <w:tc>
          <w:tcPr>
            <w:tcW w:type="dxa" w:w="30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color w:val="172124"/>
                <w:sz w:val="18"/>
              </w:rPr>
              <w:t>Falsos positivos quando padrão é permitido.</w:t>
            </w:r>
          </w:p>
        </w:tc>
        <w:tc>
          <w:tcPr>
            <w:tcW w:type="dxa" w:w="3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color w:val="172124"/>
                <w:sz w:val="18"/>
              </w:rPr>
              <w:t>Definir explicit_* por regra.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color w:val="172124"/>
                <w:sz w:val="18"/>
              </w:rPr>
              <w:t>Aceitar qualquer PredefinedType do schema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color w:val="172124"/>
                <w:sz w:val="18"/>
              </w:rPr>
              <w:t>Valores válidos, mas inadequados ao uso.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color w:val="172124"/>
                <w:sz w:val="18"/>
              </w:rPr>
              <w:t>Restringir ao caso de uso.</w:t>
            </w:r>
          </w:p>
        </w:tc>
      </w:tr>
      <w:tr>
        <w:tc>
          <w:tcPr>
            <w:tcW w:type="dxa" w:w="2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color w:val="172124"/>
                <w:sz w:val="18"/>
              </w:rPr>
              <w:t>Permitir USERDEFINED sem ObjectType</w:t>
            </w:r>
          </w:p>
        </w:tc>
        <w:tc>
          <w:tcPr>
            <w:tcW w:type="dxa" w:w="30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color w:val="172124"/>
                <w:sz w:val="18"/>
              </w:rPr>
              <w:t>Perda de significado.</w:t>
            </w:r>
          </w:p>
        </w:tc>
        <w:tc>
          <w:tcPr>
            <w:tcW w:type="dxa" w:w="3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color w:val="172124"/>
                <w:sz w:val="18"/>
              </w:rPr>
              <w:t>Exigir ObjectType e revisão.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color w:val="172124"/>
                <w:sz w:val="18"/>
              </w:rPr>
              <w:t>Permitir NOTDEFINED por omissão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color w:val="172124"/>
                <w:sz w:val="18"/>
              </w:rPr>
              <w:t>Informação insuficiente.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color w:val="172124"/>
                <w:sz w:val="18"/>
              </w:rPr>
              <w:t>Exigir decisão aprovada.</w:t>
            </w:r>
          </w:p>
        </w:tc>
      </w:tr>
      <w:tr>
        <w:tc>
          <w:tcPr>
            <w:tcW w:type="dxa" w:w="2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color w:val="172124"/>
                <w:sz w:val="18"/>
              </w:rPr>
              <w:t>Usar regra de IFC4 em IFC2X3</w:t>
            </w:r>
          </w:p>
        </w:tc>
        <w:tc>
          <w:tcPr>
            <w:tcW w:type="dxa" w:w="30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color w:val="172124"/>
                <w:sz w:val="18"/>
              </w:rPr>
              <w:t>Classe/enumeração inexistente.</w:t>
            </w:r>
          </w:p>
        </w:tc>
        <w:tc>
          <w:tcPr>
            <w:tcW w:type="dxa" w:w="3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color w:val="172124"/>
                <w:sz w:val="18"/>
              </w:rPr>
              <w:t>Separar matrizes por schema.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color w:val="172124"/>
                <w:sz w:val="18"/>
              </w:rPr>
              <w:t>Regra genérica demais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color w:val="172124"/>
                <w:sz w:val="18"/>
              </w:rPr>
              <w:t>Objetos diferentes recebem a mesma classe.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color w:val="172124"/>
                <w:sz w:val="18"/>
              </w:rPr>
              <w:t>Refinar família e tipo.</w:t>
            </w:r>
          </w:p>
        </w:tc>
      </w:tr>
      <w:tr>
        <w:tc>
          <w:tcPr>
            <w:tcW w:type="dxa" w:w="2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color w:val="172124"/>
                <w:sz w:val="18"/>
              </w:rPr>
              <w:t>Alterar matriz sem revisão</w:t>
            </w:r>
          </w:p>
        </w:tc>
        <w:tc>
          <w:tcPr>
            <w:tcW w:type="dxa" w:w="30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color w:val="172124"/>
                <w:sz w:val="18"/>
              </w:rPr>
              <w:t>Resultado não reproduzível.</w:t>
            </w:r>
          </w:p>
        </w:tc>
        <w:tc>
          <w:tcPr>
            <w:tcW w:type="dxa" w:w="3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color w:val="172124"/>
                <w:sz w:val="18"/>
              </w:rPr>
              <w:t>Nova versão e aprovação.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13. Checklist de aprovação</w:t>
      </w:r>
    </w:p>
    <w:p>
      <w:pPr>
        <w:pStyle w:val="ListBullet"/>
      </w:pPr>
      <w:r>
        <w:t>☐ Caso de uso IDM identificado e vigente.</w:t>
      </w:r>
    </w:p>
    <w:p>
      <w:pPr>
        <w:pStyle w:val="ListBullet"/>
      </w:pPr>
      <w:r>
        <w:t>☐ Schema IFC declarado sem ambiguidade.</w:t>
      </w:r>
    </w:p>
    <w:p>
      <w:pPr>
        <w:pStyle w:val="ListBullet"/>
      </w:pPr>
      <w:r>
        <w:t>☐ Versão da matriz preenchida.</w:t>
      </w:r>
    </w:p>
    <w:p>
      <w:pPr>
        <w:pStyle w:val="ListBullet"/>
      </w:pPr>
      <w:r>
        <w:t>☐ rule_id único para cada regra.</w:t>
      </w:r>
    </w:p>
    <w:p>
      <w:pPr>
        <w:pStyle w:val="ListBullet"/>
      </w:pPr>
      <w:r>
        <w:t>☐ Categoria, família e tipo representam a população real.</w:t>
      </w:r>
    </w:p>
    <w:p>
      <w:pPr>
        <w:pStyle w:val="ListBullet"/>
      </w:pPr>
      <w:r>
        <w:t>☐ Classes confirmadas na documentação do schema.</w:t>
      </w:r>
    </w:p>
    <w:p>
      <w:pPr>
        <w:pStyle w:val="ListBullet"/>
      </w:pPr>
      <w:r>
        <w:t>☐ PredefinedTypes confirmados para cada classe.</w:t>
      </w:r>
    </w:p>
    <w:p>
      <w:pPr>
        <w:pStyle w:val="ListBullet"/>
      </w:pPr>
      <w:r>
        <w:t>☐ Política de Export As explícito decidida.</w:t>
      </w:r>
    </w:p>
    <w:p>
      <w:pPr>
        <w:pStyle w:val="ListBullet"/>
      </w:pPr>
      <w:r>
        <w:t>☐ Política de PredefinedType explícito decidida.</w:t>
      </w:r>
    </w:p>
    <w:p>
      <w:pPr>
        <w:pStyle w:val="ListBullet"/>
      </w:pPr>
      <w:r>
        <w:t>☐ Uso de NOTDEFINED, USERDEFINED e proxy aprovado.</w:t>
      </w:r>
    </w:p>
    <w:p>
      <w:pPr>
        <w:pStyle w:val="ListBullet"/>
      </w:pPr>
      <w:r>
        <w:t>☐ Amostra de teste executada.</w:t>
      </w:r>
    </w:p>
    <w:p>
      <w:pPr>
        <w:pStyle w:val="ListBullet"/>
      </w:pPr>
      <w:r>
        <w:t>☐ Falsos positivos revisados.</w:t>
      </w:r>
    </w:p>
    <w:p>
      <w:pPr>
        <w:pStyle w:val="ListBullet"/>
      </w:pPr>
      <w:r>
        <w:t>☐ Aprovador e data registrados.</w:t>
      </w:r>
    </w:p>
    <w:p>
      <w:pPr>
        <w:pStyle w:val="Heading1"/>
        <w:keepNext/>
      </w:pPr>
      <w:r>
        <w:t>14. Controle de mudanças</w:t>
      </w:r>
    </w:p>
    <w:p>
      <w:r>
        <w:t>Crie nova revisão sempre que mudar o schema, o caso de uso, uma classe permitida, um PredefinedType, uma política explicit_* ou uma exceção. Não sobrescreva silenciosamente a matriz usada em uma validação anterior.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5000"/>
        <w:gridCol w:w="4360"/>
      </w:tblGrid>
      <w:tr>
        <w:tc>
          <w:tcPr>
            <w:tcW w:type="dxa" w:w="5000"/>
            <w:shd w:fill="123B4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Mudança</w:t>
            </w:r>
          </w:p>
        </w:tc>
        <w:tc>
          <w:tcPr>
            <w:tcW w:type="dxa" w:w="4360"/>
            <w:shd w:fill="123B4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Nova revisão?</w:t>
            </w:r>
          </w:p>
        </w:tc>
      </w:tr>
      <w:tr>
        <w:tc>
          <w:tcPr>
            <w:tcW w:type="dxa" w:w="5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color w:val="172124"/>
                <w:sz w:val="18"/>
              </w:rPr>
              <w:t>Correção ortográfica sem efeito na seleção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color w:val="172124"/>
                <w:sz w:val="18"/>
              </w:rPr>
              <w:t>Avaliar; registrar ajuste.</w:t>
            </w:r>
          </w:p>
        </w:tc>
      </w:tr>
      <w:tr>
        <w:tc>
          <w:tcPr>
            <w:tcW w:type="dxa" w:w="50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color w:val="172124"/>
                <w:sz w:val="18"/>
              </w:rPr>
              <w:t>Nova categoria/família/tipo</w:t>
            </w:r>
          </w:p>
        </w:tc>
        <w:tc>
          <w:tcPr>
            <w:tcW w:type="dxa" w:w="43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color w:val="172124"/>
                <w:sz w:val="18"/>
              </w:rPr>
              <w:t>Sim.</w:t>
            </w:r>
          </w:p>
        </w:tc>
      </w:tr>
      <w:tr>
        <w:tc>
          <w:tcPr>
            <w:tcW w:type="dxa" w:w="5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color w:val="172124"/>
                <w:sz w:val="18"/>
              </w:rPr>
              <w:t>Nova classe ou PredefinedType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color w:val="172124"/>
                <w:sz w:val="18"/>
              </w:rPr>
              <w:t>Sim.</w:t>
            </w:r>
          </w:p>
        </w:tc>
      </w:tr>
      <w:tr>
        <w:tc>
          <w:tcPr>
            <w:tcW w:type="dxa" w:w="50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color w:val="172124"/>
                <w:sz w:val="18"/>
              </w:rPr>
              <w:t>Mudança de IFC4 para IFC4X3</w:t>
            </w:r>
          </w:p>
        </w:tc>
        <w:tc>
          <w:tcPr>
            <w:tcW w:type="dxa" w:w="43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color w:val="172124"/>
                <w:sz w:val="18"/>
              </w:rPr>
              <w:t>Sim; preferir nova matriz.</w:t>
            </w:r>
          </w:p>
        </w:tc>
      </w:tr>
      <w:tr>
        <w:tc>
          <w:tcPr>
            <w:tcW w:type="dxa" w:w="5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color w:val="172124"/>
                <w:sz w:val="18"/>
              </w:rPr>
              <w:t>Permitir NOTDEFINED ou USERDEFINED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Calibri" w:hAnsi="Calibri"/>
                <w:b w:val="0"/>
                <w:color w:val="172124"/>
                <w:sz w:val="18"/>
              </w:rPr>
              <w:t>Sim e aprovação formal.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15. Papel futuro do Notion/RAG</w:t>
      </w:r>
    </w:p>
    <w:p>
      <w:r>
        <w:t>O Notion poderá ser fonte de conhecimento para recuperar schema IFC, formato IDS, regras IDM e matrizes aprovadas. Ele não armazenará resultados das validações neste desenho.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7F2F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b/>
                <w:color w:val="187A74"/>
              </w:rPr>
              <w:t xml:space="preserve">LIMITE DO RAG  </w:t>
            </w:r>
            <w:r>
              <w:t>O RAG pode localizar a regra e sua fonte, mas não substitui o JSON aprovado, o parser IFC nem a execução determinística. Toda recuperação deve trazer versão, fonte, status e data.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16. Fontes de referência</w:t>
      </w:r>
    </w:p>
    <w:p>
      <w:pPr>
        <w:pStyle w:val="ListBullet"/>
      </w:pPr>
      <w:r>
        <w:t>buildingSMART — documentação do schema IFC aplicável: https://standards.buildingsmart.org/</w:t>
      </w:r>
    </w:p>
    <w:p>
      <w:pPr>
        <w:pStyle w:val="ListBullet"/>
      </w:pPr>
      <w:r>
        <w:t>buildingSMART — Information Delivery Manual: https://www.buildingsmart.org/standards/bsi-standards/information-delivery-manual/</w:t>
      </w:r>
    </w:p>
    <w:p>
      <w:pPr>
        <w:pStyle w:val="ListBullet"/>
      </w:pPr>
      <w:r>
        <w:t>buildingSMART — IDS: https://technical.buildingsmart.org/projects/information-delivery-specification-ids/</w:t>
      </w:r>
    </w:p>
    <w:p>
      <w:pPr>
        <w:pStyle w:val="ListBullet"/>
      </w:pPr>
      <w:r>
        <w:t>Autodesk — IFC for Revit: https://github.com/Autodesk/revit-ifc</w:t>
      </w:r>
    </w:p>
    <w:p>
      <w:pPr>
        <w:pStyle w:val="ListBullet"/>
      </w:pPr>
      <w:r>
        <w:t>Skill local — references/ifc-mapping-rules.schema.json</w:t>
      </w:r>
    </w:p>
    <w:p>
      <w:pPr>
        <w:pStyle w:val="ListBullet"/>
      </w:pPr>
      <w:r>
        <w:t>Skill local — scripts/ifc_mapping_validator.py</w:t>
      </w:r>
    </w:p>
    <w:p>
      <w:pPr>
        <w:pStyle w:val="Heading1"/>
        <w:keepNext/>
      </w:pPr>
      <w:r>
        <w:t>Apêndice A — Modelo mínimo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123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D7ECE8"/>
                <w:sz w:val="16"/>
              </w:rPr>
              <w:t>{</w:t>
            </w:r>
            <w:r>
              <w:br/>
            </w:r>
            <w:r>
              <w:rPr>
                <w:rFonts w:ascii="Consolas" w:hAnsi="Consolas"/>
                <w:color w:val="D7ECE8"/>
                <w:sz w:val="16"/>
              </w:rPr>
              <w:t xml:space="preserve">  "version": "PREENCHER-REVISAO",</w:t>
            </w:r>
            <w:r>
              <w:br/>
            </w:r>
            <w:r>
              <w:rPr>
                <w:rFonts w:ascii="Consolas" w:hAnsi="Consolas"/>
                <w:color w:val="D7ECE8"/>
                <w:sz w:val="16"/>
              </w:rPr>
              <w:t xml:space="preserve">  "ifc_schema": "PREENCHER-SCHEMA",</w:t>
            </w:r>
            <w:r>
              <w:br/>
            </w:r>
            <w:r>
              <w:rPr>
                <w:rFonts w:ascii="Consolas" w:hAnsi="Consolas"/>
                <w:color w:val="D7ECE8"/>
                <w:sz w:val="16"/>
              </w:rPr>
              <w:t xml:space="preserve">  "idm_use_case": "PREENCHER-CASO-DE-USO",</w:t>
            </w:r>
            <w:r>
              <w:br/>
            </w:r>
            <w:r>
              <w:rPr>
                <w:rFonts w:ascii="Consolas" w:hAnsi="Consolas"/>
                <w:color w:val="D7ECE8"/>
                <w:sz w:val="16"/>
              </w:rPr>
              <w:t xml:space="preserve">  "mappings": []</w:t>
            </w:r>
            <w:r>
              <w:br/>
            </w:r>
            <w:r>
              <w:rPr>
                <w:rFonts w:ascii="Consolas" w:hAnsi="Consolas"/>
                <w:color w:val="D7ECE8"/>
                <w:sz w:val="16"/>
              </w:rPr>
              <w:t>}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Apêndice B — Critério de conclusão</w:t>
      </w:r>
    </w:p>
    <w:p>
      <w:r>
        <w:t>Uma matriz está pronta quando um revisor independente consegue responder, para cada regra: qual caso de uso a justifica, qual população ela seleciona, quais resultados são permitidos, quais evidências serão verificadas e quem aprovou a decisão.</w:t>
      </w:r>
    </w:p>
    <w:p>
      <w:r>
        <w:br w:type="page"/>
      </w:r>
    </w:p>
    <w:p>
      <w:pPr>
        <w:pStyle w:val="Heading1"/>
        <w:keepNext/>
      </w:pPr>
      <w:r>
        <w:t>17. Fluxo definitivo — Sebastian e Claude no Revit de produção</w:t>
      </w:r>
    </w:p>
    <w:p>
      <w:r>
        <w:rPr>
          <w:b/>
        </w:rPr>
        <w:t xml:space="preserve">PRINCÍPIO DE CONTROLE  </w:t>
      </w:r>
      <w:r>
        <w:t>Sebastian realiza a análise conceitual e formaliza a solicitação. Claude trabalha sempre na versão de produção do Revit, mas só pode modificá-la após aprovação humana explícita vinculada à solicitação.</w:t>
      </w:r>
    </w:p>
    <w:p>
      <w:pPr>
        <w:pStyle w:val="Heading2"/>
      </w:pPr>
      <w:r>
        <w:t>17.1 Papéis e limites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17365D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Papel</w:t>
            </w:r>
          </w:p>
        </w:tc>
        <w:tc>
          <w:tcPr>
            <w:tcW w:type="dxa" w:w="3120"/>
            <w:shd w:fill="17365D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Responsabilidade</w:t>
            </w:r>
          </w:p>
        </w:tc>
        <w:tc>
          <w:tcPr>
            <w:tcW w:type="dxa" w:w="3120"/>
            <w:shd w:fill="17365D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Limite</w:t>
            </w:r>
          </w:p>
        </w:tc>
      </w:tr>
      <w:tr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Sebastian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Analisar requisito, schema IFC, categoria autoral, classe, PredefinedType e parâmetros; emitir a solicitação formal; validar o IFC exportado.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Não altera o modelo Revit.</w:t>
            </w:r>
          </w:p>
        </w:tc>
      </w:tr>
      <w:tr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Claude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Inspecionar o modelo de produção, avaliar impacto, executar somente o escopo aprovado, registrar alterações e exportar o IFC.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Não modifica antes da aprovação explícita e não amplia o escopo.</w:t>
            </w:r>
          </w:p>
        </w:tc>
      </w:tr>
      <w:tr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Responsável humano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Revisar impacto, conflitos e recuperação; aprovar, rejeitar ou pedir ajuste.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 aprovação deve identificar a solicitação e sua revisão.</w:t>
            </w:r>
          </w:p>
        </w:tc>
      </w:tr>
    </w:tbl>
    <w:p>
      <w:pPr>
        <w:pStyle w:val="Heading2"/>
      </w:pPr>
      <w:r>
        <w:t>17.2 Sequência operacional</w:t>
      </w:r>
    </w:p>
    <w:p>
      <w:pPr>
        <w:pStyle w:val="ListNumber"/>
        <w:spacing w:after="80"/>
      </w:pPr>
      <w:r>
        <w:t>Sebastian recebe o requisito e fixa o schema, o caso de uso e o critério de aceitação.</w:t>
      </w:r>
    </w:p>
    <w:p>
      <w:pPr>
        <w:pStyle w:val="ListNumber"/>
        <w:spacing w:after="80"/>
      </w:pPr>
      <w:r>
        <w:t>Sebastian verifica fontes oficiais e evidências determinísticas, identifica lacunas e prepara a Solicitação de Modificação Revit (SMR).</w:t>
      </w:r>
    </w:p>
    <w:p>
      <w:pPr>
        <w:pStyle w:val="ListNumber"/>
        <w:spacing w:after="80"/>
      </w:pPr>
      <w:r>
        <w:t>Claude abre a versão de produção somente para inspeção em modo não modificador e informa impacto, dependências, conflitos e forma de recuperação.</w:t>
      </w:r>
    </w:p>
    <w:p>
      <w:pPr>
        <w:pStyle w:val="ListNumber"/>
        <w:spacing w:after="80"/>
      </w:pPr>
      <w:r>
        <w:t>O responsável humano aprova, rejeita ou solicita revisão. Silêncio, aprovação genérica ou conversa anterior não constituem autorização.</w:t>
      </w:r>
    </w:p>
    <w:p>
      <w:pPr>
        <w:pStyle w:val="ListNumber"/>
        <w:spacing w:after="80"/>
      </w:pPr>
      <w:r>
        <w:t>Claude executa somente a revisão aprovada da SMR, sem mudanças colaterais, e registra cada objeto, parâmetro e configuração alterados.</w:t>
      </w:r>
    </w:p>
    <w:p>
      <w:pPr>
        <w:pStyle w:val="ListNumber"/>
        <w:spacing w:after="80"/>
      </w:pPr>
      <w:r>
        <w:t>Claude salva conforme a política vigente do projeto, exporta o IFC no schema solicitado e entrega o relatório de execução com os artefatos.</w:t>
      </w:r>
    </w:p>
    <w:p>
      <w:pPr>
        <w:pStyle w:val="ListNumber"/>
        <w:spacing w:after="80"/>
      </w:pPr>
      <w:r>
        <w:t>Sebastian verifica o IFC exportado contra a categoria autoral, Export As, classe IFC, PredefinedType aplicável, parâmetros e regras aprovadas.</w:t>
      </w:r>
    </w:p>
    <w:p>
      <w:pPr>
        <w:pStyle w:val="ListNumber"/>
        <w:spacing w:after="80"/>
      </w:pPr>
      <w:r>
        <w:t>O responsável humano decide o aceite final. Não conformidades geram nova revisão da SMR; não autorizam correção implícita.</w:t>
      </w:r>
    </w:p>
    <w:p>
      <w:pPr>
        <w:pStyle w:val="Heading2"/>
      </w:pPr>
      <w:r>
        <w:t>17.3 Conteúdo mínimo da SMR</w:t>
      </w:r>
    </w:p>
    <w:p>
      <w:pPr>
        <w:pStyle w:val="ListBullet"/>
      </w:pPr>
      <w:r>
        <w:t>request_id único, revisão, data, solicitante e modelo/versão de produção alvo;</w:t>
      </w:r>
    </w:p>
    <w:p>
      <w:pPr>
        <w:pStyle w:val="ListBullet"/>
      </w:pPr>
      <w:r>
        <w:t>schema IFC, versão do exportador e caso de uso/IDM;</w:t>
      </w:r>
    </w:p>
    <w:p>
      <w:pPr>
        <w:pStyle w:val="ListBullet"/>
      </w:pPr>
      <w:r>
        <w:t>elementos ou população alvo: categoria, família, tipo e identificadores disponíveis;</w:t>
      </w:r>
    </w:p>
    <w:p>
      <w:pPr>
        <w:pStyle w:val="ListBullet"/>
      </w:pPr>
      <w:r>
        <w:t>estado atual e estado proposto para categoria, Export to IFC As/IfcExportAs, IFC Predefined Type/IfcExportType e parâmetros;</w:t>
      </w:r>
    </w:p>
    <w:p>
      <w:pPr>
        <w:pStyle w:val="ListBullet"/>
      </w:pPr>
      <w:r>
        <w:t>justificativa, fonte, evidência determinística e critério de aceitação;</w:t>
      </w:r>
    </w:p>
    <w:p>
      <w:pPr>
        <w:pStyle w:val="ListBullet"/>
      </w:pPr>
      <w:r>
        <w:t>impacto esperado, riscos, dependências, plano de recuperação e artefatos de saída;</w:t>
      </w:r>
    </w:p>
    <w:p>
      <w:pPr>
        <w:pStyle w:val="ListBullet"/>
      </w:pPr>
      <w:r>
        <w:t>status da aprovação, responsável, data e escopo exato autorizado.</w:t>
      </w:r>
    </w:p>
    <w:p>
      <w:pPr>
        <w:pStyle w:val="Heading2"/>
      </w:pPr>
      <w:r>
        <w:t>17.4 Regra de aprovação e execução</w:t>
      </w:r>
    </w:p>
    <w:p>
      <w:r>
        <w:rPr>
          <w:b/>
        </w:rPr>
        <w:t xml:space="preserve">BLOQUEIO OBRIGATÓRIO  </w:t>
      </w:r>
      <w:r>
        <w:t>Antes da aprovação explícita, Claude pode apenas inspecionar e relatar. A autorização vale exclusivamente para o request_id, a revisão, o modelo e o escopo aprovados. Qualquer divergência material interrompe a execução e exige nova aprovação.</w:t>
      </w:r>
    </w:p>
    <w:p>
      <w:pPr>
        <w:pStyle w:val="Heading2"/>
      </w:pPr>
      <w:r>
        <w:t>17.5 Retorno e validação</w:t>
      </w:r>
    </w:p>
    <w:p>
      <w:r>
        <w:t>O retorno de Claude deve informar request_id e revisão, arquivo e versão efetivamente usados, alterações executadas, itens não executados, alertas, caminho do IFC exportado e registro de recuperação. Sebastian usa esse retorno e o IFC como evidência para a pós-validação; conformidade só é declarada após revisão humana.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6666A"/>
        <w:sz w:val="16"/>
      </w:rPr>
      <w:t xml:space="preserve">Página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b/>
        <w:color w:val="56666A"/>
        <w:sz w:val="16"/>
      </w:rPr>
      <w:t>INFORMATION MANAGER IFC  |  GUIA OPERACIONAL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color w:val="172124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187A74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187A74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23B4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para criação de regras de mapeamento IFC</dc:title>
  <dc:subject>IFC Mapping Validator</dc:subject>
  <dc:creator>CNX-BIM</dc:creator>
  <cp:keywords>IFC, IDM, PredefinedType, Revit, OpenClaw, openBIM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