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b/>
          <w:color w:val="B7791F"/>
          <w:sz w:val="20"/>
        </w:rPr>
        <w:t>GUIA OPERACIONAL</w:t>
      </w:r>
    </w:p>
    <w:p>
      <w:pPr>
        <w:spacing w:after="160"/>
        <w:jc w:val="center"/>
      </w:pPr>
      <w:r>
        <w:rPr>
          <w:b/>
          <w:color w:val="123B47"/>
          <w:sz w:val="58"/>
        </w:rPr>
        <w:t>Manual para criação de regras</w:t>
        <w:br/>
        <w:t>de mapeamento IFC</w:t>
      </w:r>
    </w:p>
    <w:p>
      <w:pPr>
        <w:spacing w:after="1080"/>
        <w:jc w:val="center"/>
      </w:pPr>
      <w:r>
        <w:rPr>
          <w:color w:val="187A74"/>
          <w:sz w:val="28"/>
        </w:rPr>
        <w:t>Categoria autoral → classe IFC → PredefinedType</w:t>
      </w:r>
    </w:p>
    <w:p>
      <w:pPr>
        <w:jc w:val="center"/>
      </w:pPr>
      <w:r>
        <w:rPr>
          <w:b/>
          <w:sz w:val="22"/>
        </w:rPr>
        <w:t>Skill Information Manager IFC  |  OpenClaw</w:t>
      </w:r>
    </w:p>
    <w:p>
      <w:pPr>
        <w:jc w:val="center"/>
      </w:pPr>
      <w:r>
        <w:rPr>
          <w:color w:val="56666A"/>
          <w:sz w:val="19"/>
        </w:rPr>
        <w:t>Versão 1.0  •  Julho de 2026</w:t>
      </w:r>
    </w:p>
    <w:p>
      <w:r>
        <w:br w:type="page"/>
      </w:r>
    </w:p>
    <w:p>
      <w:pPr>
        <w:pStyle w:val="Heading1"/>
        <w:keepNext/>
      </w:pPr>
      <w:r>
        <w:t>Controle do documento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6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Manual para criação de regras de mapeamento IFC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Finalidade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Orientar a criação, revisão, aprovação e uso da matriz JSON do IFC Mapping Validator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Responsável pela aprovação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Jefferson ou responsável BIM formalmente designado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Escopo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Pré e pós-validação de categoria, Export As, classe IFC e PredefinedType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Não inclui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Alteração automática de Revit/IFC ou armazenamento de resultados no Notion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6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B7791F"/>
              </w:rPr>
              <w:t xml:space="preserve">REGRA CENTRAL  </w:t>
            </w:r>
            <w:r>
              <w:t>A matriz não é uma opinião do agente. Cada regra deve nascer de um caso de uso IDM, do schema IFC aplicável e de uma decisão aprovada do projeto.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Objetivo e resultado esperado</w:t>
      </w:r>
    </w:p>
    <w:p>
      <w:r>
        <w:t>Este manual ensina a transformar requisitos do projeto em regras que o agente ifc-mapping-validator consegue executar de forma determinística. A regra informa quais classes IFC e quais PredefinedTypes são aceitos para uma combinação de categoria, família e tipo do modelo autoral.</w:t>
      </w:r>
    </w:p>
    <w:p>
      <w:r>
        <w:t>Ao final, você terá um arquivo JSON versionado, revisado e aprovado, capaz de orientar a auditoria antes e depois da exportação IFC.</w:t>
      </w:r>
    </w:p>
    <w:p>
      <w:pPr>
        <w:pStyle w:val="Heading1"/>
        <w:keepNext/>
      </w:pPr>
      <w:r>
        <w:t>2. Onde a regra entra no fluxo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12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7ECE8"/>
                <w:sz w:val="16"/>
              </w:rPr>
              <w:t>IDM / caso de uso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>Matriz de regras aprovada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>CSV do modelo autoral → pré-validação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>Exportação IFC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>CSV + IFC + GlobalId → pós-validação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↓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>Consolidação → decisão humana</w:t>
            </w:r>
          </w:p>
        </w:tc>
      </w:tr>
    </w:tbl>
    <w:p>
      <w:pPr>
        <w:spacing w:after="0"/>
      </w:pPr>
    </w:p>
    <w:p>
      <w:r>
        <w:t>O IDM define a necessidade e o critério de aceitação. A matriz traduz essa decisão para uma estrutura computável. O CSV comprova a intenção autoral. O IFC comprova o resultado exportado.</w:t>
      </w:r>
    </w:p>
    <w:p>
      <w:pPr>
        <w:pStyle w:val="Heading1"/>
        <w:keepNext/>
      </w:pPr>
      <w:r>
        <w:t>3. Conceitos que não devem ser confundidos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5000"/>
        <w:gridCol w:w="2760"/>
      </w:tblGrid>
      <w:tr>
        <w:tc>
          <w:tcPr>
            <w:tcW w:type="dxa" w:w="160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Conceito</w:t>
            </w:r>
          </w:p>
        </w:tc>
        <w:tc>
          <w:tcPr>
            <w:tcW w:type="dxa" w:w="500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 que representa</w:t>
            </w:r>
          </w:p>
        </w:tc>
        <w:tc>
          <w:tcPr>
            <w:tcW w:type="dxa" w:w="276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Fonte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Categoria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Agrupamento no software autoral; não é automaticamente uma classe IFC.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Revit ou outro autor</w:t>
            </w:r>
          </w:p>
        </w:tc>
      </w:tr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Export As</w:t>
            </w:r>
          </w:p>
        </w:tc>
        <w:tc>
          <w:tcPr>
            <w:tcW w:type="dxa" w:w="5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Intenção de exportar o objeto como determinada classe IFC.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Modelo autoral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Classe IFC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Entidade efetivamente criada no arquivo IFC.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IFC exportado</w:t>
            </w:r>
          </w:p>
        </w:tc>
      </w:tr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PredefinedType</w:t>
            </w:r>
          </w:p>
        </w:tc>
        <w:tc>
          <w:tcPr>
            <w:tcW w:type="dxa" w:w="5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Especialização controlada da classe IFC.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Schema IFC / IFC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ObjectType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Descrição personalizada quando PredefinedType é USERDEFINED.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IFC exportado</w:t>
            </w:r>
          </w:p>
        </w:tc>
      </w:tr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GlobalId</w:t>
            </w:r>
          </w:p>
        </w:tc>
        <w:tc>
          <w:tcPr>
            <w:tcW w:type="dxa" w:w="5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Identificador usado para reconciliar origem e resultado.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Origem + IFC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EC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A33A32"/>
              </w:rPr>
              <w:t xml:space="preserve">ATENÇÃO  </w:t>
            </w:r>
            <w:r>
              <w:t>Uma categoria pode admitir várias classes IFC. A regra deve considerar a função do objeto, família, tipo e caso de uso — não somente o nome da categoria.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Responsabilidades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Papel</w:t>
            </w:r>
          </w:p>
        </w:tc>
        <w:tc>
          <w:tcPr>
            <w:tcW w:type="dxa" w:w="716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Autor da regra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Levantar caso de uso, schema, categorias e alternativas de mapeamento.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Especialista IFC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Confirmar classes, enumerações e regras de tipo/ocorrência no schema exato.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Responsável IDM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Confirmar finalidade, etapa, ator e requisito de troca.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Jefferson/aprovador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Aprovar matriz, exceções, uso de NOTDEFINED, USERDEFINED e proxies.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Agente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Executar a matriz sem inventar mapeamentos e reportar lacunas.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Processo de criação da matriz</w:t>
      </w:r>
    </w:p>
    <w:p>
      <w:pPr>
        <w:spacing w:before="140" w:after="80"/>
      </w:pPr>
      <w:r>
        <w:rPr>
          <w:b/>
          <w:color w:val="187A74"/>
        </w:rPr>
        <w:t xml:space="preserve">PASSO 01  </w:t>
      </w:r>
      <w:r>
        <w:rPr>
          <w:b/>
        </w:rPr>
        <w:t>Definir o caso de uso</w:t>
      </w:r>
    </w:p>
    <w:p>
      <w:r>
        <w:t>Registre o uso da entrega: coordenação, orçamento, fabricação, operação ou outro. Uma mesma categoria pode ter regras diferentes em casos de uso distintos.</w:t>
      </w:r>
    </w:p>
    <w:p>
      <w:pPr>
        <w:pStyle w:val="ListBullet"/>
      </w:pPr>
      <w:r>
        <w:t>Identifique o IDM e sua revisão.</w:t>
      </w:r>
    </w:p>
    <w:p>
      <w:pPr>
        <w:pStyle w:val="ListBullet"/>
      </w:pPr>
      <w:r>
        <w:t>Registre fase, disciplina, produtor, receptor e decisão apoiada.</w:t>
      </w:r>
    </w:p>
    <w:p>
      <w:pPr>
        <w:pStyle w:val="ListBullet"/>
      </w:pPr>
      <w:r>
        <w:t>Não use uma regra de outro caso de uso sem reaprovação.</w:t>
      </w:r>
    </w:p>
    <w:p>
      <w:pPr>
        <w:spacing w:before="140" w:after="80"/>
      </w:pPr>
      <w:r>
        <w:rPr>
          <w:b/>
          <w:color w:val="187A74"/>
        </w:rPr>
        <w:t xml:space="preserve">PASSO 02  </w:t>
      </w:r>
      <w:r>
        <w:rPr>
          <w:b/>
        </w:rPr>
        <w:t>Fixar o schema IFC</w:t>
      </w:r>
    </w:p>
    <w:p>
      <w:r>
        <w:t>Escolha exatamente IFC2X3, IFC4 ou IFC4X3. Classes e enumerações variam entre versões; por isso, uma matriz nunca deve declarar apenas “IFC”.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6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B7791F"/>
              </w:rPr>
              <w:t xml:space="preserve">CRITÉRIO DE PARADA  </w:t>
            </w:r>
            <w:r>
              <w:t>Se o schema da entrega não estiver definido, não crie a regra definitiva. Mantenha-a como rascunho.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b/>
          <w:color w:val="187A74"/>
        </w:rPr>
        <w:t xml:space="preserve">PASSO 03  </w:t>
      </w:r>
      <w:r>
        <w:rPr>
          <w:b/>
        </w:rPr>
        <w:t>Levantar a população autoral</w:t>
      </w:r>
    </w:p>
    <w:p>
      <w:r>
        <w:t>Extraia as categorias, famílias e tipos realmente existentes no modelo. Comece pelas maiores populações e pelos objetos críticos ao caso de uso.</w:t>
      </w:r>
    </w:p>
    <w:p>
      <w:pPr>
        <w:pStyle w:val="ListBullet"/>
      </w:pPr>
      <w:r>
        <w:t>Evite criar regras para categorias que não participam do intercâmbio.</w:t>
      </w:r>
    </w:p>
    <w:p>
      <w:pPr>
        <w:pStyle w:val="ListBullet"/>
      </w:pPr>
      <w:r>
        <w:t>Separe famílias com funções diferentes, mesmo quando compartilham categoria.</w:t>
      </w:r>
    </w:p>
    <w:p>
      <w:pPr>
        <w:spacing w:before="140" w:after="80"/>
      </w:pPr>
      <w:r>
        <w:rPr>
          <w:b/>
          <w:color w:val="187A74"/>
        </w:rPr>
        <w:t xml:space="preserve">PASSO 04  </w:t>
      </w:r>
      <w:r>
        <w:rPr>
          <w:b/>
        </w:rPr>
        <w:t>Decidir se o mapeamento deve ser explícito</w:t>
      </w:r>
    </w:p>
    <w:p>
      <w:r>
        <w:t>Defina se Export to IFC As/IfcExportAs pode ficar vazio e usar o padrão do exportador ou se o projeto exige preenchimento explícito.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500"/>
        <w:gridCol w:w="5860"/>
      </w:tblGrid>
      <w:tr>
        <w:tc>
          <w:tcPr>
            <w:tcW w:type="dxa" w:w="350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586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Decisão recomendada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Categoria homogênea e padrão comprovado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Pode permitir mapeamento padrão, com pós-validação obrigatória.</w:t>
            </w:r>
          </w:p>
        </w:tc>
      </w:tr>
      <w:tr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Categoria genérica ou multifuncional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Exigir Export As explícito.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Entrega crítica para fabricação/operação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Preferir regra explícita e rastreável.</w:t>
            </w:r>
          </w:p>
        </w:tc>
      </w:tr>
      <w:tr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Resultado do exportador varia por versão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Exigir versão do exportador e pós-validação.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b/>
          <w:color w:val="187A74"/>
        </w:rPr>
        <w:t xml:space="preserve">PASSO 05  </w:t>
      </w:r>
      <w:r>
        <w:rPr>
          <w:b/>
        </w:rPr>
        <w:t>Definir o recorte da regra</w:t>
      </w:r>
    </w:p>
    <w:p>
      <w:r>
        <w:t>Use category, family_pattern e type_pattern. A regra mais específica vence. Use * somente quando a decisão realmente vale para todas as famílias ou tipos.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12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7ECE8"/>
                <w:sz w:val="16"/>
              </w:rPr>
              <w:t>"category": "Mechanical Equipment",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>"family_pattern": "*Bomba*",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>"type_pattern": "*"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EC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A33A32"/>
              </w:rPr>
              <w:t xml:space="preserve">EVITE  </w:t>
            </w:r>
            <w:r>
              <w:t>Uma regra ampla como category='Generic Models', family_pattern='*' e type_pattern='*' normalmente esconde funções diferentes e deve ser dividida.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b/>
          <w:color w:val="187A74"/>
        </w:rPr>
        <w:t xml:space="preserve">PASSO 06  </w:t>
      </w:r>
      <w:r>
        <w:rPr>
          <w:b/>
        </w:rPr>
        <w:t>Selecionar classes IFC permitidas</w:t>
      </w:r>
    </w:p>
    <w:p>
      <w:r>
        <w:t>Liste somente classes compatíveis com a função e existentes no schema escolhido. Uma regra pode aceitar mais de uma classe quando houver alternativas legítimas, desde que as condições estejam documentadas.</w:t>
      </w:r>
    </w:p>
    <w:p>
      <w:pPr>
        <w:pStyle w:val="ListBullet"/>
      </w:pPr>
      <w:r>
        <w:t>Verifique a documentação oficial do schema.</w:t>
      </w:r>
    </w:p>
    <w:p>
      <w:pPr>
        <w:pStyle w:val="ListBullet"/>
      </w:pPr>
      <w:r>
        <w:t>Registre a justificativa fora do JSON ou no controle de aprovação.</w:t>
      </w:r>
    </w:p>
    <w:p>
      <w:pPr>
        <w:pStyle w:val="ListBullet"/>
      </w:pPr>
      <w:r>
        <w:t>Não use IfcBuildingElementProxy como solução padrão quando existir classe específica.</w:t>
      </w:r>
    </w:p>
    <w:p>
      <w:pPr>
        <w:spacing w:before="140" w:after="80"/>
      </w:pPr>
      <w:r>
        <w:rPr>
          <w:b/>
          <w:color w:val="187A74"/>
        </w:rPr>
        <w:t xml:space="preserve">PASSO 07  </w:t>
      </w:r>
      <w:r>
        <w:rPr>
          <w:b/>
        </w:rPr>
        <w:t>Selecionar PredefinedTypes</w:t>
      </w:r>
    </w:p>
    <w:p>
      <w:r>
        <w:t>Para cada classe permitida, liste os valores aceitos pela enumeração daquela classe e schema. Depois restrinja a lista ao caso de uso do projeto.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7F2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187A74"/>
              </w:rPr>
              <w:t xml:space="preserve">USERDEFINED  </w:t>
            </w:r>
            <w:r>
              <w:t>Quando permitido, o IFC precisa fornecer ObjectType. A matriz deve indicar a necessidade de revisão semântica do valor personalizado.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6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B7791F"/>
              </w:rPr>
              <w:t xml:space="preserve">NOTDEFINED  </w:t>
            </w:r>
            <w:r>
              <w:t>Permitir NOTDEFINED é uma decisão de governança. Não o aceite implicitamente apenas porque o schema o oferece.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b/>
          <w:color w:val="187A74"/>
        </w:rPr>
        <w:t xml:space="preserve">PASSO 08  </w:t>
      </w:r>
      <w:r>
        <w:rPr>
          <w:b/>
        </w:rPr>
        <w:t>Definir os requisitos de preenchimento</w:t>
      </w:r>
    </w:p>
    <w:p>
      <w:r>
        <w:t>Configure explicit_export_as, explicit_predefined_type e allow_not_defined. Esses campos controlam o que é incompleto e o que pode depender do padrão do exportador.</w:t>
      </w:r>
    </w:p>
    <w:p>
      <w:pPr>
        <w:spacing w:before="140" w:after="80"/>
      </w:pPr>
      <w:r>
        <w:rPr>
          <w:b/>
          <w:color w:val="187A74"/>
        </w:rPr>
        <w:t xml:space="preserve">PASSO 09  </w:t>
      </w:r>
      <w:r>
        <w:rPr>
          <w:b/>
        </w:rPr>
        <w:t>Versionar e aprovar</w:t>
      </w:r>
    </w:p>
    <w:p>
      <w:r>
        <w:t>Defina versão, schema, caso de uso e responsável. Salve a matriz como artefato controlado. Mudança em classe, PredefinedType ou política de obrigatoriedade exige nova revisão.</w:t>
      </w:r>
    </w:p>
    <w:p>
      <w:pPr>
        <w:spacing w:before="140" w:after="80"/>
      </w:pPr>
      <w:r>
        <w:rPr>
          <w:b/>
          <w:color w:val="187A74"/>
        </w:rPr>
        <w:t xml:space="preserve">PASSO 10  </w:t>
      </w:r>
      <w:r>
        <w:rPr>
          <w:b/>
        </w:rPr>
        <w:t>Testar antes de liberar</w:t>
      </w:r>
    </w:p>
    <w:p>
      <w:r>
        <w:t>Execute a matriz em uma amostra conhecida, revise falsos positivos e confirme que regras amplas não capturam objetos indevidos. Só então use no projeto inteiro.</w:t>
      </w:r>
    </w:p>
    <w:p>
      <w:pPr>
        <w:pStyle w:val="Heading1"/>
        <w:keepNext/>
      </w:pPr>
      <w:r>
        <w:t>6. Dicionário dos campos JSON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50"/>
        <w:gridCol w:w="1250"/>
        <w:gridCol w:w="5760"/>
      </w:tblGrid>
      <w:tr>
        <w:tc>
          <w:tcPr>
            <w:tcW w:type="dxa" w:w="235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25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Obrigatório</w:t>
            </w:r>
          </w:p>
        </w:tc>
        <w:tc>
          <w:tcPr>
            <w:tcW w:type="dxa" w:w="576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Como preencher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version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Sim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Revisão única da matriz, por exemplo CR001-MAP-R01.</w:t>
            </w:r>
          </w:p>
        </w:tc>
      </w:tr>
      <w:t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ifc_schema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Sim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Schema exato: IFC2X3, IFC4 ou IFC4X3.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idm_use_case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Recomendado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Caso de uso e, se possível, referência ao IDM.</w:t>
            </w:r>
          </w:p>
        </w:tc>
      </w:tr>
      <w:t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mappings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Sim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Lista das regras aprovadas.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rule_id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Sim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Identificador estável e único.</w:t>
            </w:r>
          </w:p>
        </w:tc>
      </w:tr>
      <w:t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category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Sim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Categoria autoral; aceita padrão com * quando justificado.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family_pattern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Não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Filtro de família; padrão *.</w:t>
            </w:r>
          </w:p>
        </w:tc>
      </w:tr>
      <w:t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type_pattern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Não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Filtro de tipo; padrão *.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not_applicable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Não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true quando a população está fora do intercâmbio.</w:t>
            </w:r>
          </w:p>
        </w:tc>
      </w:tr>
      <w:t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allowed_mappings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Sim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Classes e PredefinedTypes aceitos.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ifc_class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Sim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Classe com prefixo Ifc e capitalização oficial.</w:t>
            </w:r>
          </w:p>
        </w:tc>
      </w:tr>
      <w:t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predefined_types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Sim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Lista de valores aceitos para a classe.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explicit_export_as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Não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true para exigir classe explícita na origem.</w:t>
            </w:r>
          </w:p>
        </w:tc>
      </w:tr>
      <w:t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explicit_predefined_type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Não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true para exigir PredefinedType explícito na origem.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allow_not_defined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Não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true somente quando NOTDEFINED tiver aprovação.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Exemplo completo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6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B7791F"/>
              </w:rPr>
              <w:t xml:space="preserve">EXEMPLO DIDÁTICO  </w:t>
            </w:r>
            <w:r>
              <w:t>Os valores abaixo demonstram a estrutura. Antes do uso real, confirme classe e enumerações no schema aplicável e aprove a regra no projeto.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12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7ECE8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"version": "CR001-MAP-R01",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"ifc_schema": "IFC4",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"idm_use_case": "Orçamento executivo",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"mappings": [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"rule_id": "MAP-ARQ-001",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"category": "Walls",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"family_pattern": "*",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"type_pattern": "*",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"allowed_mappings": [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  {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    "ifc_class": "IfcWall",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    "predefined_types": ["STANDARD", "USERDEFINED"]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],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"requirements": {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  "explicit_export_as": true,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  "explicit_predefined_type": true,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  "allow_not_defined": false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}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Como decidir a granularidade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12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7ECE8"/>
                <w:sz w:val="16"/>
              </w:rPr>
              <w:t>Categoria possui uma única função no caso de uso?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├─ Sim → regra por categoria pode bastar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└─ Não → famílias diferenciam a função?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     ├─ Sim → criar regras por family_pattern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     └─ Não → tipos diferenciam a função?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              ├─ Sim → criar regras por type_pattern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                  └─ Não → revisão humana / melhorar classificação autoral</w:t>
            </w:r>
          </w:p>
        </w:tc>
      </w:tr>
    </w:tbl>
    <w:p>
      <w:pPr>
        <w:spacing w:after="0"/>
      </w:pPr>
    </w:p>
    <w:p>
      <w:r>
        <w:t>Quanto mais genérica a categoria, maior deve ser a especificidade por família ou tipo. Uma regra ampla é simples de manter, mas perigosa quando mistura funções.</w:t>
      </w:r>
    </w:p>
    <w:p>
      <w:pPr>
        <w:pStyle w:val="Heading1"/>
        <w:keepNext/>
      </w:pPr>
      <w:r>
        <w:t>9. Preparação do CSV autoral</w:t>
      </w:r>
    </w:p>
    <w:p>
      <w:r>
        <w:t>Use o template ifc-mapping-source-template.csv. O cabeçalho deve permanecer exatamente: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12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7ECE8"/>
                <w:sz w:val="16"/>
              </w:rPr>
              <w:t>element_id,global_id,category,family,type,export_as,predefined_type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716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element_id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Rastrear o objeto no modelo autoral.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global_id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Relacionar a origem ao IFC; pode estar vazio na pré-validação.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category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Selecionar a regra.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family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Refinar a regra.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type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Refinar a regra.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export_as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Registrar classe pretendida.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predefined_type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Registrar especialização pretendida.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EC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A33A32"/>
              </w:rPr>
              <w:t xml:space="preserve">RECONCILIAÇÃO  </w:t>
            </w:r>
            <w:r>
              <w:t>Sem GlobalId comum entre CSV e IFC, a pós-validação deve marcar a correspondência como NAO_VERIFICAVEL.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Execução</w:t>
      </w:r>
    </w:p>
    <w:p>
      <w:pPr>
        <w:pStyle w:val="Heading2"/>
        <w:keepNext/>
      </w:pPr>
      <w:r>
        <w:t>10.1 Pré-exportação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12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7ECE8"/>
                <w:sz w:val="16"/>
              </w:rPr>
              <w:t>python scripts/ifc_mapping_validator.py   --source-csv modelo-autoral.csv   --rules regras-cr001.json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Pós-exportação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12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7ECE8"/>
                <w:sz w:val="16"/>
              </w:rPr>
              <w:t>python scripts/ifc_mapping_validator.py   --source-csv modelo-autoral.csv   --rules regras-cr001.json   --ifc modelo-exportado.ifc   --output resultado-mapeamento.json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Solicitação ao OpenClaw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12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7ECE8"/>
                <w:sz w:val="16"/>
              </w:rPr>
              <w:t>Acione ifc-mapping-validator com o CSV autoral,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>a matriz aprovada e o IFC. Valide preenchimento,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>classe resultante, PredefinedType efetivo e cobertura.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>Não invente regras e não altere arquivos.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Interpretação dos resultados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4160"/>
        <w:gridCol w:w="3100"/>
      </w:tblGrid>
      <w:tr>
        <w:tc>
          <w:tcPr>
            <w:tcW w:type="dxa" w:w="210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16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Interpretação</w:t>
            </w:r>
          </w:p>
        </w:tc>
        <w:tc>
          <w:tcPr>
            <w:tcW w:type="dxa" w:w="310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CONFORME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Origem e resultado atendem à matriz.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Aceitar evidência.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CONFORME_POR_PADRAO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Campo vazio permitido e resultado correto.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Registrar dependência do exportador.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INCOMPLETO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Campo ou valor obrigatório ausente.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Corrigir origem.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INCOERENTE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Classe ou tipo não permitido.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Corrigir ou revisar a regra.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NAO_EXPORTADO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GlobalId esperado não encontrado.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Investigar exportação.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NAO_APLICAVEL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Fora do caso de uso.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Não contabilizar como falha.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NAO_VERIFICAVEL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Evidência insuficiente.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Fornecer CSV, IFC ou identificador.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REVISAO_HUMANA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Não existe regra aplicável.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Criar/aprovar regra antes de concluir.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Erros comuns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3000"/>
        <w:gridCol w:w="3560"/>
      </w:tblGrid>
      <w:tr>
        <w:tc>
          <w:tcPr>
            <w:tcW w:type="dxa" w:w="280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Erro</w:t>
            </w:r>
          </w:p>
        </w:tc>
        <w:tc>
          <w:tcPr>
            <w:tcW w:type="dxa" w:w="300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Risco</w:t>
            </w:r>
          </w:p>
        </w:tc>
        <w:tc>
          <w:tcPr>
            <w:tcW w:type="dxa" w:w="356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Correção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Tratar categoria como classe IFC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Classificação semântica incorreta.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Considerar função, família, tipo e IDM.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Exigir todos os campos preenchidos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Falsos positivos quando padrão é permitido.</w:t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Definir explicit_* por regra.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Aceitar qualquer PredefinedType do schema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Valores válidos, mas inadequados ao uso.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Restringir ao caso de uso.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Permitir USERDEFINED sem ObjectType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Perda de significado.</w:t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Exigir ObjectType e revisão.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Permitir NOTDEFINED por omissão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Informação insuficiente.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Exigir decisão aprovada.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Usar regra de IFC4 em IFC2X3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Classe/enumeração inexistente.</w:t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Separar matrizes por schema.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Regra genérica demais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Objetos diferentes recebem a mesma classe.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Refinar família e tipo.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Alterar matriz sem revisão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Resultado não reproduzível.</w:t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Nova versão e aprovação.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Checklist de aprovação</w:t>
      </w:r>
    </w:p>
    <w:p>
      <w:pPr>
        <w:pStyle w:val="ListBullet"/>
      </w:pPr>
      <w:r>
        <w:t>☐ Caso de uso IDM identificado e vigente.</w:t>
      </w:r>
    </w:p>
    <w:p>
      <w:pPr>
        <w:pStyle w:val="ListBullet"/>
      </w:pPr>
      <w:r>
        <w:t>☐ Schema IFC declarado sem ambiguidade.</w:t>
      </w:r>
    </w:p>
    <w:p>
      <w:pPr>
        <w:pStyle w:val="ListBullet"/>
      </w:pPr>
      <w:r>
        <w:t>☐ Versão da matriz preenchida.</w:t>
      </w:r>
    </w:p>
    <w:p>
      <w:pPr>
        <w:pStyle w:val="ListBullet"/>
      </w:pPr>
      <w:r>
        <w:t>☐ rule_id único para cada regra.</w:t>
      </w:r>
    </w:p>
    <w:p>
      <w:pPr>
        <w:pStyle w:val="ListBullet"/>
      </w:pPr>
      <w:r>
        <w:t>☐ Categoria, família e tipo representam a população real.</w:t>
      </w:r>
    </w:p>
    <w:p>
      <w:pPr>
        <w:pStyle w:val="ListBullet"/>
      </w:pPr>
      <w:r>
        <w:t>☐ Classes confirmadas na documentação do schema.</w:t>
      </w:r>
    </w:p>
    <w:p>
      <w:pPr>
        <w:pStyle w:val="ListBullet"/>
      </w:pPr>
      <w:r>
        <w:t>☐ PredefinedTypes confirmados para cada classe.</w:t>
      </w:r>
    </w:p>
    <w:p>
      <w:pPr>
        <w:pStyle w:val="ListBullet"/>
      </w:pPr>
      <w:r>
        <w:t>☐ Política de Export As explícito decidida.</w:t>
      </w:r>
    </w:p>
    <w:p>
      <w:pPr>
        <w:pStyle w:val="ListBullet"/>
      </w:pPr>
      <w:r>
        <w:t>☐ Política de PredefinedType explícito decidida.</w:t>
      </w:r>
    </w:p>
    <w:p>
      <w:pPr>
        <w:pStyle w:val="ListBullet"/>
      </w:pPr>
      <w:r>
        <w:t>☐ Uso de NOTDEFINED, USERDEFINED e proxy aprovado.</w:t>
      </w:r>
    </w:p>
    <w:p>
      <w:pPr>
        <w:pStyle w:val="ListBullet"/>
      </w:pPr>
      <w:r>
        <w:t>☐ Amostra de teste executada.</w:t>
      </w:r>
    </w:p>
    <w:p>
      <w:pPr>
        <w:pStyle w:val="ListBullet"/>
      </w:pPr>
      <w:r>
        <w:t>☐ Falsos positivos revisados.</w:t>
      </w:r>
    </w:p>
    <w:p>
      <w:pPr>
        <w:pStyle w:val="ListBullet"/>
      </w:pPr>
      <w:r>
        <w:t>☐ Aprovador e data registrados.</w:t>
      </w:r>
    </w:p>
    <w:p>
      <w:pPr>
        <w:pStyle w:val="Heading1"/>
        <w:keepNext/>
      </w:pPr>
      <w:r>
        <w:t>14. Controle de mudanças</w:t>
      </w:r>
    </w:p>
    <w:p>
      <w:r>
        <w:t>Crie nova revisão sempre que mudar o schema, o caso de uso, uma classe permitida, um PredefinedType, uma política explicit_* ou uma exceção. Não sobrescreva silenciosamente a matriz usada em uma validação anterior.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00"/>
        <w:gridCol w:w="4360"/>
      </w:tblGrid>
      <w:tr>
        <w:tc>
          <w:tcPr>
            <w:tcW w:type="dxa" w:w="500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Mudança</w:t>
            </w:r>
          </w:p>
        </w:tc>
        <w:tc>
          <w:tcPr>
            <w:tcW w:type="dxa" w:w="4360"/>
            <w:shd w:fill="123B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Nova revisão?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Correção ortográfica sem efeito na seleção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Avaliar; registrar ajuste.</w:t>
            </w:r>
          </w:p>
        </w:tc>
      </w:tr>
      <w:tr>
        <w:tc>
          <w:tcPr>
            <w:tcW w:type="dxa" w:w="5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Nova categoria/família/tipo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Sim.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Nova classe ou PredefinedType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Sim.</w:t>
            </w:r>
          </w:p>
        </w:tc>
      </w:tr>
      <w:tr>
        <w:tc>
          <w:tcPr>
            <w:tcW w:type="dxa" w:w="5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Mudança de IFC4 para IFC4X3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Sim; preferir nova matriz.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Permitir NOTDEFINED ou USERDEFINED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72124"/>
                <w:sz w:val="18"/>
              </w:rPr>
              <w:t>Sim e aprovação formal.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Papel futuro do Notion/RAG</w:t>
      </w:r>
    </w:p>
    <w:p>
      <w:r>
        <w:t>O Notion poderá ser fonte de conhecimento para recuperar schema IFC, formato IDS, regras IDM e matrizes aprovadas. Ele não armazenará resultados das validações neste desenho.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7F2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187A74"/>
              </w:rPr>
              <w:t xml:space="preserve">LIMITE DO RAG  </w:t>
            </w:r>
            <w:r>
              <w:t>O RAG pode localizar a regra e sua fonte, mas não substitui o JSON aprovado, o parser IFC nem a execução determinística. Toda recuperação deve trazer versão, fonte, status e data.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Fontes de referência</w:t>
      </w:r>
    </w:p>
    <w:p>
      <w:pPr>
        <w:pStyle w:val="ListBullet"/>
      </w:pPr>
      <w:r>
        <w:t>buildingSMART — documentação do schema IFC aplicável: https://standards.buildingsmart.org/</w:t>
      </w:r>
    </w:p>
    <w:p>
      <w:pPr>
        <w:pStyle w:val="ListBullet"/>
      </w:pPr>
      <w:r>
        <w:t>buildingSMART — Information Delivery Manual: https://www.buildingsmart.org/standards/bsi-standards/information-delivery-manual/</w:t>
      </w:r>
    </w:p>
    <w:p>
      <w:pPr>
        <w:pStyle w:val="ListBullet"/>
      </w:pPr>
      <w:r>
        <w:t>buildingSMART — IDS: https://technical.buildingsmart.org/projects/information-delivery-specification-ids/</w:t>
      </w:r>
    </w:p>
    <w:p>
      <w:pPr>
        <w:pStyle w:val="ListBullet"/>
      </w:pPr>
      <w:r>
        <w:t>Autodesk — IFC for Revit: https://github.com/Autodesk/revit-ifc</w:t>
      </w:r>
    </w:p>
    <w:p>
      <w:pPr>
        <w:pStyle w:val="ListBullet"/>
      </w:pPr>
      <w:r>
        <w:t>Skill local — references/ifc-mapping-rules.schema.json</w:t>
      </w:r>
    </w:p>
    <w:p>
      <w:pPr>
        <w:pStyle w:val="ListBullet"/>
      </w:pPr>
      <w:r>
        <w:t>Skill local — scripts/ifc_mapping_validator.py</w:t>
      </w:r>
    </w:p>
    <w:p>
      <w:pPr>
        <w:pStyle w:val="Heading1"/>
        <w:keepNext/>
      </w:pPr>
      <w:r>
        <w:t>Apêndice A — Modelo mínimo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12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D7ECE8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"version": "PREENCHER-REVISAO",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"ifc_schema": "PREENCHER-SCHEMA",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"idm_use_case": "PREENCHER-CASO-DE-USO",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 xml:space="preserve">  "mappings": []</w:t>
            </w:r>
            <w:r>
              <w:br/>
            </w:r>
            <w:r>
              <w:rPr>
                <w:rFonts w:ascii="Consolas" w:hAnsi="Consolas"/>
                <w:color w:val="D7ECE8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Apêndice B — Critério de conclusão</w:t>
      </w:r>
    </w:p>
    <w:p>
      <w:r>
        <w:t>Uma matriz está pronta quando um revisor independente consegue responder, para cada regra: qual caso de uso a justifica, qual população ela seleciona, quais resultados são permitidos, quais evidências serão verificadas e quem aprovou a decisão.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66A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56666A"/>
        <w:sz w:val="16"/>
      </w:rPr>
      <w:t>INFORMATION MANAGER IFC  |  GUIA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7A7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7A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3B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para criação de regras de mapeamento IFC</dc:title>
  <dc:subject>IFC Mapping Validator</dc:subject>
  <dc:creator>CNX-BIM</dc:creator>
  <cp:keywords>IFC, IDM, PredefinedType, Revit, OpenClaw, openBIM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