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320"/>
        <w:jc w:val="center"/>
      </w:pPr>
      <w:r>
        <w:rPr>
          <w:rFonts w:ascii="Calibri" w:hAnsi="Calibri"/>
          <w:b/>
          <w:i w:val="0"/>
          <w:color w:val="2E74B5"/>
          <w:sz w:val="22"/>
        </w:rPr>
        <w:t>ARTIGO TÉCNICO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6324F"/>
          <w:sz w:val="56"/>
        </w:rPr>
        <w:t>Seis gates para transformar</w:t>
        <w:br/>
        <w:t>requisitos BIM em modelos IFC validados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5B6573"/>
          <w:sz w:val="27"/>
        </w:rPr>
        <w:t>Um método técnico alinhado aos princípios de gestão da informação da ISO 19650 e aos padrões openBIM da buildingSMART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O fluxo começa antes do IDS: primeiro é necessário descobrir se o dado já existe no Revit, como ele deve ser representado no IFC e se a exportação realmente produz a estrutura prevista.</w:t>
            </w:r>
          </w:p>
        </w:tc>
      </w:tr>
    </w:tbl>
    <w:p>
      <w:pPr>
        <w:spacing w:after="40"/>
      </w:pPr>
    </w:p>
    <w:p>
      <w:pPr>
        <w:spacing w:before="1200"/>
        <w:jc w:val="center"/>
      </w:pPr>
      <w:r>
        <w:rPr>
          <w:rFonts w:ascii="Calibri" w:hAnsi="Calibri"/>
          <w:b w:val="0"/>
          <w:i/>
          <w:color w:val="5B6573"/>
          <w:sz w:val="19"/>
        </w:rPr>
        <w:t>Palavras-chave: ISO 19650; IDM; ISO 29481; requisitos de informação; IFC; IDS; bSDD; Revit; validação BIM; openBIM.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spacing w:after="160" w:line="307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qualidade de um modelo BIM não pode ser reduzida à aparência geométrica nem à existência de um arquivo IFC. Para que a informação seja verificável, o requisito recebido precisa ser interpretado, relacionado ao caso de uso e ao fluxo de informação, associado aos objetos corretos, confrontado com os dados nativos da plataforma autoral, mapeado para o schema IFC, testado em uma exportação real e, somente então, convertido em uma especificação IDS. Este artigo apresenta o desenvolvimento conceitual de um fluxo em seis gates para controlar essa passagem. O método ocupa um recorte técnico da gestão de requisitos de informação associada à ISO 19650, utiliza o IDM como estrutura de processo e emprega padrões buildingSMART como meios de implementação. Seu objetivo não é declarar conformidade integral com a ISO 19650, mas tornar a validação IFC rastreável, proporcional e reproduzível.</w:t>
      </w:r>
    </w:p>
    <w:p>
      <w:pPr>
        <w:pStyle w:val="Heading1"/>
      </w:pPr>
      <w:r>
        <w:t>1. O problema não começa no IFC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Uma matriz de requisitos pode chegar ao projeto com dezenas ou centenas de parâmetros. A resposta mais rápida costuma ser criar todos eles como parâmetros compartilhados, vinculá-los às categorias do Revit e, depois, redigir um IDS para verificar seu preenchimento. O processo parece rigoroso, mas começa pela solução antes de compreender o dado. Parte das informações já pode existir nativamente no Revit; outra parte pode ser calculada a partir da geometria; algumas propriedades já possuem destino padronizado no IFC; e apenas uma parcela realmente exige um parâmetro ou Pset customizado.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Quando essa análise é ignorada, o modelo acumula campos duplicados, GUIDs concorrentes, tipos de dados incompatíveis e propriedades que não são serializadas como esperado. O IDS passa a verificar a intenção do projetista da regra, não o comportamento real da exportação. O resultado é uma falsa sensação de controle: existe uma especificação formal, mas a cadeia que deveria produzir os dados não foi comprovada.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ISO 19650-1 estabelece conceitos e princípios para a gestão da informação ao longo do ciclo de vida e trata requisitos de informação como parte de uma estrutura mais ampla de produção, organização e troca. A ISO 19650-2, por sua vez, especifica requisitos para um processo de gestão da informação no contexto da fase de entrega e de suas trocas [1][2]. O fluxo de gates apresentado aqui recorta desse universo uma questão específica: como transformar requisitos técnicos aplicáveis a objetos BIM em critérios verificáveis sobre um modelo IFC.</w:t>
      </w:r>
    </w:p>
    <w:p>
      <w:pPr>
        <w:pStyle w:val="Heading1"/>
      </w:pPr>
      <w:r>
        <w:t>2. Da exigência textual ao requisito computável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Um requisito como “as portas devem conter dados de resistência ao fogo” é compreensível para uma pessoa, mas ainda não é executável por uma máquina. Para se tornar verificável, ele precisa responder a perguntas concretas: quais portas estão no escopo? Como a população corta-fogo será identificada? Qual propriedade representa a resistência? Em qual Pset? Com qual datatype? O valor é obrigatório em todas as fases? Quais valores são admitidos? O campo pertence ao tipo ou à ocorrência?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Essa decomposição é coerente com a lógica da ISO 19650 porque vincula a informação requerida à sua finalidade, ao momento em que deve estar disponível e a quem deve produzi-la. Ao mesmo tempo, prepara o requisito para os padrões openBIM. O IFC fornece o schema de classes, propriedades, quantidades e relações; o bSDD oferece infraestrutura para distribuir dicionários, classes, propriedades, relações e identificadores semânticos; e o IDS formaliza requisitos de informação em formato interpretável por computadores [3][4][5].</w:t>
      </w:r>
    </w:p>
    <w:p>
      <w:pPr>
        <w:pStyle w:val="Heading2"/>
      </w:pPr>
      <w:r>
        <w:t>2.1. Exemplo aplicado: largura livre de uma porta acessível</w:t>
      </w:r>
    </w:p>
    <w:p>
      <w:pPr/>
      <w:r>
        <w:t>Para demonstrar a passagem entre necessidade, especificação de entrega e verificação automática, considere a largura livre de uma porta pertencente a uma rota acessível. O exemplo evidencia que o processo começa pela decisão que deve ser apoiada, e não pelo nome de um parâmetro.</w:t>
      </w:r>
    </w:p>
    <w:p>
      <w:pPr/>
      <w:r>
        <w:rPr>
          <w:b/>
        </w:rPr>
        <w:t>PIR — decisão a apoiar.</w:t>
      </w:r>
      <w:r>
        <w:t xml:space="preserve"> A contratante precisa decidir, ao final do projeto executivo, se as rotas acessíveis possuem portas com largura livre adequada ao uso previsto. O PIR registra a decisão, a informação necessária, os objetos envolvidos e o ponto-chave de decisão. Nesse nível, ainda não é obrigatório definir o nome do parâmetro nem o Pset de destino.</w:t>
      </w:r>
    </w:p>
    <w:p>
      <w:pPr/>
      <w:r>
        <w:rPr>
          <w:b/>
        </w:rPr>
        <w:t>EIR — condições de entrega.</w:t>
      </w:r>
      <w:r>
        <w:t xml:space="preserve"> O EIR traduz essa necessidade em condições gerenciais, comerciais e técnicas. A Arquitetura é responsável pela informação; a entrega ocorre no marco do projeto executivo; cada porta aplicável deve informar a largura livre em milímetros; e o dado deve ser exportado ao IFC no destino aprovado. O conjunto de evidências pode incluir o modelo IFC, a especificação IDS e o relatório de validação.</w:t>
      </w:r>
    </w:p>
    <w:p>
      <w:pPr/>
      <w:r>
        <w:t>Como exemplo técnico, a matriz pode aprovar IfcDoor como entidade aplicável, Pset_Acessibilidade como conjunto, LarguraLivre como propriedade, IfcLengthMeasure como datatype, milímetro como unidade e cardinalidade obrigatória de uma ocorrência por porta aplicável. Esse destino é uma decisão do projeto e deve ser usado apenas quando nenhum atributo, Pset ou Qto oficial representar corretamente o conceito.</w:t>
      </w:r>
    </w:p>
    <w:p>
      <w:pPr/>
      <w:r>
        <w:rPr>
          <w:b/>
        </w:rPr>
        <w:t>IDS — parcela verificável.</w:t>
      </w:r>
      <w:r>
        <w:t xml:space="preserve"> O IDS formaliza a condição que pode ser testada automaticamente no IFC: toda IfcDoor identificada como pertencente à rota acessível deve possuir Pset_Acessibilidade.LarguraLivre, com valor numérico preenchido e igual ou superior ao limite aprovado.</w:t>
      </w:r>
    </w:p>
    <w:p>
      <w:pPr/>
      <w:r>
        <w:t>O IDS não comprova, sozinho, se a rota acessível foi corretamente definida, se o limite adotado atende à legislação, se a disciplina entregou no prazo ou se as condições comerciais foram cumpridas. Essas decisões permanecem no processo de gestão e aprovação.</w:t>
      </w:r>
    </w:p>
    <w:p>
      <w:pPr/>
      <w:r>
        <w:t>A cadeia pode ser resumida assim: PIR — “precisamos decidir se as rotas são acessíveis”; EIR — “as portas aplicáveis devem entregar a largura livre no IFC, com responsabilidade, prazo, estrutura e evidências definidos”; IDS — “verifique no IFC se cada porta aplicável possui a propriedade exigida e se o valor atende ao limite aprovado”. Portanto, o IDS não substitui o EIR: ele automatiza somente a parte técnica efetivamente representada e verificável no IFC.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Os gates não são uma etapa adicional de burocracia. Eles são pontos de decisão que impedem um requisito incompleto de contaminar todas as etapas seguintes.</w:t>
            </w:r>
          </w:p>
        </w:tc>
      </w:tr>
    </w:tbl>
    <w:p>
      <w:pPr>
        <w:spacing w:after="40"/>
      </w:pPr>
    </w:p>
    <w:p>
      <w:pPr>
        <w:pStyle w:val="Heading1"/>
      </w:pPr>
      <w:r>
        <w:t>3. O papel do IDM na origem dos gates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Information Delivery Manual (IDM), desenvolvido pela buildingSMART e normalizado na série ISO 29481, fornece uma metodologia para capturar processos e fluxos de informação ao longo do ciclo de vida. Ele documenta por que uma troca existe, quais atividades a compõem, quem produz e recebe a informação e quais Exchange Requirements sustentam o processo [8][9]. O BPMN é utilizado para tornar visível a sequência lógica das atividades e suas dependências; não se trata de um cronograma, mas de um mapa do processo de informação [10].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No método dos seis gates, o IDM ocupa a camada anterior à validação técnica. O caso de uso e o mapa de processo explicam o contexto da troca; os Exchange Requirements definem o conteúdo necessário; os Gates 1 a 4 traduzem esse conteúdo para a arquitetura Revit–IFC; o Gate 5 o formaliza em IDS; e o Gate 6 verifica o modelo entregue. Assim, o fluxo não substitui o IDM. Ele implementa tecnicamente a parcela dos requisitos de troca que deve estar contida e ser verificada no IFC.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IDM define o processo e a necessidade da troca; IFC estrutura o dado; bSDD ancora o significado; IDS formaliza e verifica o requisito.</w:t>
            </w:r>
          </w:p>
        </w:tc>
      </w:tr>
    </w:tbl>
    <w:p>
      <w:pPr>
        <w:spacing w:after="40"/>
      </w:pPr>
    </w:p>
    <w:p>
      <w:pPr>
        <w:pStyle w:val="Heading1"/>
      </w:pPr>
      <w:r>
        <w:t>4. Por que seis gates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fluxo foi desenhado com seis gates porque existem seis decisões técnicas distintas. Unificá-las torna o processo opaco; fragmentá-las demais transforma a validação em uma sequência difícil de operar. Cada gate recebe uma entrada, executa uma decisão limitada e exige uma evidência antes de liberar a próxima etapa.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792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4320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Pergunta controlada</w:t>
            </w:r>
          </w:p>
        </w:tc>
        <w:tc>
          <w:tcPr>
            <w:tcW w:type="dxa" w:w="4248"/>
            <w:shd w:fill="16324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Evidência de saída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 requisito é claro e verificável?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Matriz de requisitos interpretados.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 dado já existe ou precisa ser criado?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Matriz de origem e decisão A–G.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Como o dado será estruturado entre Revit e IFC?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Matriz técnica Revit–IFC.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 exportação real produz o resultado planejado?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IFC de teste inspecionado.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 requisito pode ser formalizado e testado em IDS?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IDS validado com casos positivo e negativo.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3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 modelo entregue atende aos requisitos aplicáveis?</w:t>
            </w:r>
          </w:p>
        </w:tc>
        <w:tc>
          <w:tcPr>
            <w:tcW w:type="dxa" w:w="42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Relatório de validação e cobertura.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72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fluxo_eir_if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7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B6573"/>
          <w:sz w:val="18"/>
        </w:rPr>
        <w:t>Figura 1 — Fluxo técnico dos seis gates, incluindo retornos e rotas finais.</w:t>
      </w:r>
    </w:p>
    <w:p>
      <w:pPr>
        <w:pStyle w:val="Heading1"/>
      </w:pPr>
      <w:r>
        <w:t>5. Gate 1: interpretar antes de modelar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Pergunta de decisão: O requisito está claro, aplicável e verificável?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/>
          <w:i w:val="0"/>
          <w:color w:val="2E74B5"/>
          <w:sz w:val="21"/>
        </w:rPr>
        <w:t>Perguntas orientadoras para a análise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Qual decisão ou uso da informação justifica este requisito?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A quais objetos, categorias, disciplinas e fases ele se aplica?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O dado pertence ao tipo ou à ocorrência?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Datatype, unidade, cardinalidade e valores permitidos estão definidos?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Uma pessoa independente interpretaria o requisito da mesma forma?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primeiro gate protege o projeto contra a ambiguidade original. A matriz do cliente pode informar apenas o nome de um parâmetro; a equipe técnica precisa descobrir seu significado, finalidade, população, disciplina, fase, tipo de dado, unidade, cardinalidade e valores permitidos. Também deve identificar se o requisito se aplica ao tipo ou à ocorrência. Essa distinção afeta o vínculo no Revit, o mapeamento de exportação e a forma de validação.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gate não serve para renegociar a gestão contratual completa. Seu papel é técnico: impedir que nomes vagos ou contraditórios sejam convertidos diretamente em campos de modelo. Se “largura” não informa se representa largura nominal, largura útil ou dimensão geométrica exportada, o requisito ainda não está pronto. A rota correta é solicitar esclarecimento, não escolher silenciosamente uma interpretação.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condição de saída é simples: o requisito deve ser aplicável e testável. Isso materializa a proporcionalidade defendida pela ISO 19650: produzir informação suficiente para a finalidade, sem impor dados excessivos ou indefinidos [1].</w:t>
      </w:r>
    </w:p>
    <w:p>
      <w:pPr>
        <w:pStyle w:val="Heading1"/>
      </w:pPr>
      <w:r>
        <w:t>6. Gate 2: descobrir a origem do dado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Pergunta de decisão: O dado já existe ou precisa ser criado?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/>
          <w:i w:val="0"/>
          <w:color w:val="2E74B5"/>
          <w:sz w:val="21"/>
        </w:rPr>
        <w:t>Perguntas orientadoras para a análise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Existe um parâmetro nativo do Revit que represente o conceito sem ambiguidade?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O dado pode ser obtido da geometria ou calculado de forma reproduzível?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Já existe parâmetro compartilhado aprovado, com GUID controlado?</w:t>
      </w:r>
    </w:p>
    <w:p>
      <w:pPr>
        <w:pStyle w:val="ListNumber"/>
        <w:spacing w:after="60" w:line="269" w:lineRule="auto"/>
        <w:ind w:left="504" w:hanging="259"/>
      </w:pPr>
      <w:r>
        <w:t>No schema IFC exato, o destino é atributo, quantidade padronizada, Pset oficial, associação ou ainda não está comprovado?</w:t>
      </w:r>
    </w:p>
    <w:p>
      <w:pPr>
        <w:pStyle w:val="ListNumber"/>
        <w:spacing w:after="60" w:line="269" w:lineRule="auto"/>
        <w:ind w:left="504" w:hanging="259"/>
      </w:pPr>
      <w:r>
        <w:t>Se for necessário criar, está justificado como Custom Qto para medição física ou Custom Pset para informação descritiva?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segundo gate é o centro econômico do método. Antes de criar qualquer parâmetro, a equipe pesquisa em paralelo os parâmetros nativos do Revit, os valores geométricos e calculados, as configurações do exportador, o schema IFC adotado, os parâmetros compartilhados existentes, os mapeamentos oficiais e os conceitos semânticos aprovados. A pergunta deixa de ser “qual parâmetro devemos criar?” e passa a ser “qual é a fonte mais confiável para esta informação?”.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decisão pode assumir sete formas: dado nativo exportado; dado nativo que exige mapeamento; parâmetro compartilhado existente; propriedade IFC padrão que precisa de uma origem autoral; requisito customizado; dado derivado; ou informação externa ao modelo. Essa classificação reduz duplicidades e faz com que a customização seja uma decisão justificada, não o comportamento padrão.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bSDD pode apoiar essa análise ao oferecer definições, classes, propriedades, relações, valores permitidos e URIs. A própria documentação da buildingSMART recomenda cuidado com referências “latest” em acordos, pois elas podem mudar; quando a rastreabilidade exige estabilidade, a versão específica deve ser registrada [5]. O bSDD não substitui o mapeamento Revit–IFC nem decide o requisito do projeto. Ele fornece uma âncora semântica.</w:t>
      </w:r>
    </w:p>
    <w:p>
      <w:pPr>
        <w:pStyle w:val="Heading1"/>
      </w:pPr>
      <w:r>
        <w:t>7. Gate 3: estabelecer a arquitetura Revit–IFC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Pergunta de decisão: A estrutura autoral e o destino IFC estão tecnicamente coerentes?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/>
          <w:i w:val="0"/>
          <w:color w:val="2E74B5"/>
          <w:sz w:val="21"/>
        </w:rPr>
        <w:t>Perguntas orientadoras para a análise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Há uma única fonte autoral controlada para cada informação?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Categoria, tipo ou ocorrência, datatype e unidade são compatíveis entre Revit e IFC?</w:t>
      </w:r>
    </w:p>
    <w:p>
      <w:pPr>
        <w:pStyle w:val="ListNumber"/>
        <w:spacing w:after="60" w:line="269" w:lineRule="auto"/>
        <w:ind w:left="504" w:hanging="259"/>
      </w:pPr>
      <w:r>
        <w:t>Classe IFC, PredefinedType e Destino_IFC_Tipo representam o conceito sem confundir atributo, Qto, Pset ou associação?</w:t>
      </w:r>
    </w:p>
    <w:p>
      <w:pPr>
        <w:pStyle w:val="ListNumber"/>
        <w:spacing w:after="60" w:line="269" w:lineRule="auto"/>
        <w:ind w:left="504" w:hanging="259"/>
      </w:pPr>
      <w:r>
        <w:t>GUID, método de exportação e, para Qto, QuantitySet, QuantityName, QuantityType e MethodOfMeasurement estão registrados e versionados?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A solução evita parâmetros ou propriedades duplicadas?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Depois de conhecer a origem do dado, o terceiro gate define sua arquitetura. A matriz Revit–IFC consolida nome, GUID, datatype, unidade, escopo de tipo ou ocorrência, categorias vinculadas, classe IFC, PredefinedType, Pset, propriedade, método de preenchimento e regra de exportação. A matriz torna-se a fonte técnica de verdade para a implementação.</w:t>
      </w:r>
    </w:p>
    <w:p>
      <w:pPr>
        <w:spacing w:after="160" w:line="307" w:lineRule="auto"/>
        <w:ind w:firstLine="360"/>
        <w:jc w:val="both"/>
      </w:pPr>
      <w:r>
        <w:t>A hierarquia de decisão é deliberadamente conservadora: reutilizar um atributo IFC nativo; empregar uma quantidade padronizada aplicável ao schema; utilizar Pset oficial ou associação IFC; e somente então criar Custom Qto ou Custom Pset. Quando o dado puder ser derivado de forma reproduzível, o cálculo deve ser preferido à entrada manual. Origem Revit e destino IFC são decisões separadas.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Essa disciplina é particularmente importante porque IFC não é apenas um formato de arquivo. É um schema de dados padronizado para intercâmbio. A classe escolhida, o tipo predefinido e a localização da propriedade determinam se ferramentas independentes conseguirão interpretar o conteúdo de forma consistente [3].</w:t>
      </w:r>
    </w:p>
    <w:p>
      <w:pPr>
        <w:pStyle w:val="Heading2"/>
      </w:pPr>
      <w:r>
        <w:t>7.1. Quantidade não é propriedade com outro nome</w:t>
      </w:r>
    </w:p>
    <w:p>
      <w:r>
        <w:t>A matriz não deve possuir um campo genérico Pset_ou_Qto. Cada requisito precisa ser classificado como ATTRIBUTE, STANDARD_QTO, CUSTOM_QTO, STANDARD_PSET, CUSTOM_PSET, MATERIAL_ASSOCIATION, CALCULATED_ONLY ou UNVERIFIED. A classificação depende do schema exato e do significado da informação, não apenas do nome do parâmetro no Revit.</w:t>
      </w:r>
    </w:p>
    <w:p>
      <w:r>
        <w:t>Um Custom Qto é apropriado somente para uma grandeza física mensurável, com QuantitySet, QuantityName, QuantityType, unidade, MethodOfMeasurement e fórmula ou origem geométrica documentados. Sua aprovação ocorre apenas no Gate 4, depois que o IFC exportado comprova IfcElementQuantity e o subtipo IfcQuantityLength, IfcQuantityArea, IfcQuantityVolume ou equivalente. Informação descritiva deve permanecer em Pset; material efetivo deve preferir associação IFC.</w:t>
      </w:r>
    </w:p>
    <w:p>
      <w:r>
        <w:t>Os nomes dos Quantity Set Templates também são dependentes da versão. Não se deve transportar automaticamente um nome Qto_*BaseQuantities de IFC4/IFC4.3 para IFC2X3. O IFC2X3 oferece IfcElementQuantity e permite distinguir métodos de medição, mas o nome e o conteúdo adotados precisam ser comprovados no schema, no acordo do projeto e no arquivo exportado [11][12][13].</w:t>
      </w:r>
    </w:p>
    <w:p>
      <w:pPr>
        <w:pStyle w:val="Heading1"/>
      </w:pPr>
      <w:r>
        <w:t>8. Gate 4: provar a exportação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Pergunta de decisão: O IFC real contém a estrutura planejada?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/>
          <w:i w:val="0"/>
          <w:color w:val="2E74B5"/>
          <w:sz w:val="21"/>
        </w:rPr>
        <w:t>Perguntas orientadoras para a análise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Foram exportados casos positivo, negativo e não aplicável?</w:t>
      </w:r>
    </w:p>
    <w:p>
      <w:pPr>
        <w:pStyle w:val="ListNumber"/>
        <w:spacing w:after="60" w:line="269" w:lineRule="auto"/>
        <w:ind w:left="504" w:hanging="259"/>
      </w:pPr>
      <w:r>
        <w:t>O IFC comprova classe, PredefinedType e a entidade planejada: atributo, IfcElementQuantity/IfcQuantity*, IfcPropertySet/IfcProperty* ou associação?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Qual é o comportamento do exportador quando o valor está vazio?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Outra pessoa consegue repetir a exportação e obter o mesmo resultado?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Toda divergência foi encaminhada ao gate onde sua causa se originou?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Uma configuração correta no Revit não é evidência suficiente. O quarto gate exige um modelo de teste com casos positivos e negativos e uma exportação real no schema definido. O IFC resultante deve ser inspecionado diretamente para confirmar classe, PredefinedType, Pset, nome da propriedade, datatype, unidade, valor e escopo. Também é necessário observar o comportamento dos campos vazios, porque muitos exportadores não serializam propriedades sem valor.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Esse gate muda a natureza do controle. Até aqui, a equipe trabalhava com uma arquitetura prevista; a partir daqui, trabalha com uma arquitetura comprovada. Se o resultado não corresponder à matriz, o processo retorna à origem ou à arquitetura do dado. Criar o IDS antes dessa prova inverte a cadeia de evidências: a especificação passa a exigir uma estrutura que talvez o exportador não produza.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teste deve ser pequeno, mas representativo. Uma porta com FireRating, uma sem valor e uma que não pertence à população corta-fogo são mais úteis para validar a regra do que um grande modelo sem casos controlados.</w:t>
      </w:r>
    </w:p>
    <w:p>
      <w:pPr>
        <w:pStyle w:val="Heading1"/>
      </w:pPr>
      <w:r>
        <w:t>9. Gate 5: formalizar o que já foi comprovado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Pergunta de decisão: A especificação detecta corretamente conformidade e falha?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/>
          <w:i w:val="0"/>
          <w:color w:val="2E74B5"/>
          <w:sz w:val="21"/>
        </w:rPr>
        <w:t>Perguntas orientadoras para a análise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A applicability encontra a população sem depender do dado cuja ausência será testada?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Requirements, cardinalidades, datatypes e valores refletem o requisito aprovado?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O IDS passa no XSD e nos casos positivos e falha nos casos negativos?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Resultados 0/0, skipped ou populações inesperadas são tratados como inconclusivos?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Existe alguma regra necessária que esteja fora do escopo do IDS?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IDS entra no quinto gate, não no primeiro. A buildingSMART define IDS como um padrão para expressar requisitos de informação em formato interpretável por computadores e permitir a verificação automática de modelos IFC. Uma especificação pode definir objetos, classificações, materiais, propriedades e valores esperados [4]. A versão 1.0 atingiu o status de padrão final da buildingSMART em 2024 [6].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No fluxo proposto, o IDS é derivado de três evidências: requisito interpretado, matriz Revit–IFC e exportação comprovada. Sua applicability define a população; os requirements definem o que cada membro dessa população deve possuir. Cardinalidade, datatype, restrições e valores permitidos precisam ser compatíveis com o schema e com o comportamento observado.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IDS deve ser validado contra seu XSD e testado com um caso que passa e outro que falha. Resultados 0/0 ou Skipped não podem ser tratados automaticamente como conformidade, porque podem indicar que a população esperada não foi alcançada. Além disso, IDS não substitui verificações geométricas, cálculos agregados ou relações que estejam fora de seu escopo. Nesses casos, a regra complementar deve ser explicitamente identificada.</w:t>
      </w:r>
    </w:p>
    <w:p>
      <w:pPr>
        <w:pStyle w:val="Heading1"/>
      </w:pPr>
      <w:r>
        <w:t>10. Gate 6: validar o modelo sem esconder a cobertura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Pergunta de decisão: O modelo atende aos requisitos aplicáveis com cobertura conhecida?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Calibri" w:hAnsi="Calibri"/>
          <w:b/>
          <w:i w:val="0"/>
          <w:color w:val="2E74B5"/>
          <w:sz w:val="21"/>
        </w:rPr>
        <w:t>Perguntas orientadoras para a análise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O IFC analisado e o IDS utilizado são as versões corretas e estão identificados por hash?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A população esperada, encontrada e efetivamente avaliada está explícita?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As falhas obrigatórias indicam requisito, valor encontrado e GlobalId?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O status final distingue conforme, não conforme e inconclusivo?</w:t>
      </w:r>
    </w:p>
    <w:p>
      <w:pPr>
        <w:pStyle w:val="ListNumber"/>
        <w:spacing w:after="60" w:line="269" w:lineRule="auto"/>
        <w:ind w:left="504" w:hanging="259"/>
      </w:pPr>
      <w:r>
        <w:rPr>
          <w:rFonts w:ascii="Calibri" w:hAnsi="Calibri"/>
          <w:b w:val="0"/>
          <w:i w:val="0"/>
          <w:color w:val="000000"/>
          <w:sz w:val="20"/>
        </w:rPr>
        <w:t>A correção foi direcionada ao gate de origem e o consolidado usa o último modelo analisado?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último gate executa o IDS e as regras complementares sobre o modelo de entrega. A saída não deve se limitar a “aprovado” ou “reprovado”. Precisa informar população esperada, população encontrada, aplicáveis, aprovados, reprovados, não avaliados, cobertura, GlobalIds e limitações.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Há três rotas finais. Um modelo é validado conforme quando todos os requisitos aplicáveis são atendidos dentro da cobertura declarada. É validado não conforme quando a execução foi concluída, mas existem reprovações. A validação é inconclusiva quando a população não pode ser determinada, há erro de execução, contradição ou evidência insuficiente. Essa distinção separa a qualidade do modelo da qualidade do processo de verificação.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Uma não conformidade deve ser acionável: objeto, requisito, valor encontrado, valor esperado, provável origem e ação de correção. O relatório deixa de ser um documento de diagnóstico genérico e se torna uma ponte direta para o ajuste no modelo autoral.</w:t>
      </w:r>
    </w:p>
    <w:p>
      <w:pPr>
        <w:pStyle w:val="Heading1"/>
      </w:pPr>
      <w:r>
        <w:t>11. Um exemplo completo: resistência ao fogo em portas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Considere o requisito “portas corta-fogo devem informar resistência ao fogo”. No Gate 1, a equipe define como reconhecer a população corta-fogo, em qual fase o dado é obrigatório e quais valores são aceitos. No Gate 2, identifica se o parâmetro Fire Rating já existe no Revit e pesquisa seu destino no IFC. No Gate 3, registra categoria Doors, escopo, datatype, classe IfcDoor e propriedade FireRating no Pset aprovado.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No Gate 4, exporta três casos controlados: uma porta corta-fogo preenchida, outra sem valor e uma porta comum. A inspeção confirma como o exportador serializa a propriedade e se a população pode ser identificada sem depender do próprio campo cuja ausência se pretende detectar. No Gate 5, a regra IDS é criada com a applicability correta e testada contra casos positivo e negativo. No Gate 6, o modelo real é validado e o relatório apresenta quantas portas eram aplicáveis, quantas passaram e os GlobalIds das que falharam.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exemplo revela por que a ordem importa. Se a população corta-fogo for identificada exclusivamente por FireRating, uma porta sem essa propriedade pode desaparecer da applicability e gerar 0/0 ou uma aprovação enganosa. O gate de exportação obriga a descobrir esse problema antes da validação final.</w:t>
      </w:r>
    </w:p>
    <w:p>
      <w:pPr>
        <w:pStyle w:val="Heading1"/>
      </w:pPr>
      <w:r>
        <w:t>12. Determinismo como propriedade do processo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Ferramentas de inteligência artificial podem ajudar a interpretar requisitos, localizar referências e explicar resultados, mas a evidência de conformidade deve ser produzida por operações reproduzíveis. O mesmo IFC, a mesma regra, a mesma versão do IDS e o mesmo runtime devem gerar as mesmas populações e contagens.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Por isso, cada validação deve registrar o hash do arquivo, schema IFC, versão da matriz, versão do IDS, ferramenta de validação e instante de execução. A IA pode reorganizar a linguagem do relatório; não pode alterar a população, os valores encontrados ou o status técnico. Esse desenho preserva a auditabilidade e mantém o uso de automação subordinado à evidência.</w:t>
      </w:r>
    </w:p>
    <w:p>
      <w:pPr>
        <w:pStyle w:val="Heading1"/>
      </w:pPr>
      <w:r>
        <w:t>13. Limites do método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Os gates são uma metodologia autoral de implementação. Eles não são uma sequência normativa publicada pela ISO nem um processo oficial da buildingSMART. O alinhamento com a ISO 19650 ocorre na gestão proporcional, rastreável e testável dos requisitos de informação; o alinhamento com a buildingSMART ocorre pelo uso de IFC, bSDD e IDS dentro dos seus respectivos escopos.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 método também não declara conformidade integral com a ISO 19650. Ficam fora deste recorte o CDE, os planos de entrega, as nomeações, a autorização documental e outros processos de gestão da informação. Seu produto é mais específico: requisitos técnicos estruturados, exportação comprovada, IDS verificado e modelos IFC validados.</w:t>
      </w:r>
    </w:p>
    <w:p>
      <w:pPr>
        <w:pStyle w:val="Heading1"/>
      </w:pPr>
      <w:r>
        <w:t>Conclusão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A validação IFC confiável não começa no validador. Ela começa quando um requisito textual é decomposto até que objeto, propriedade, datatype, unidade, aplicabilidade e fonte de dados possam ser identificados. Em seguida, exige disciplina para pesquisar o que já existe, evitar duplicações, definir a arquitetura Revit–IFC, testar o exportador e apenas então formalizar a regra em IDS.</w:t>
      </w:r>
    </w:p>
    <w:p>
      <w:pPr>
        <w:spacing w:after="160" w:line="307" w:lineRule="auto"/>
        <w:ind w:firstLine="360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Os seis gates tornam essa cadeia visível. Cada um impede que uma incerteza avance disfarçada de decisão técnica. O resultado é um processo simples de operar, mas rigoroso na evidência: o modelo é validado conforme, validado não conforme ou permanece inconclusivo. Não há aprovação silenciosa, e toda falha aponta para o ponto exato em que o dado deve ser corrigido.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1F8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6324F"/>
                <w:sz w:val="22"/>
              </w:rPr>
              <w:t>A simplicidade não está em reduzir a validação; está em separar as decisões certas, na ordem certa.</w:t>
            </w:r>
          </w:p>
        </w:tc>
      </w:tr>
    </w:tbl>
    <w:p>
      <w:pPr>
        <w:spacing w:after="40"/>
      </w:pPr>
    </w:p>
    <w:p>
      <w:pPr>
        <w:pStyle w:val="Heading1"/>
      </w:pPr>
      <w:r>
        <w:t>Referências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[1] ISO. ISO 19650-1:2018 — Organization and digitization of information about buildings and civil engineering works, including building information modelling (BIM) — Information management using building information modelling — Part 1: Concepts and principles. https://www.iso.org/standard/68078.html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[2] ISO. ISO 19650-2:2018 — Organization and digitization of information about buildings and civil engineering works, including building information modelling (BIM) — Information management using building information modelling — Part 2: Delivery phase of the assets. https://www.iso.org/standard/68080.html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[3] buildingSMART International. Industry Foundation Classes (IFC). https://technical.buildingsmart.org/standards/ifc/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[4] buildingSMART International. Information Delivery Specification (IDS). https://www.buildingsmart.org/standards/bsi-standards/information-delivery-specification-ids/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[5] buildingSMART International. Data structure of bSDD. https://technical.buildingsmart.org/services/bsdd/data-structure/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[6] buildingSMART International. Information Delivery Specification IDS v1.0 is Approved as a Final Standard, 4 jun. 2024. https://www.buildingsmart.org/information-delivery-specification-ids-v1-0-is-approved-as-a-final-standard/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[7] buildingSMART International. IDS repository — schema, user manual and implementers documentation. https://github.com/buildingSMART/IDS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[8] buildingSMART International. Information Delivery Manual (IDM). https://technical.buildingsmart.org/standards/information-delivery-manual/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[9] ISO. ISO 29481-3:2022 — Building information models — Information delivery manual — Part 3: Data schema. https://www.iso.org/standard/81261.html</w:t>
      </w:r>
    </w:p>
    <w:p>
      <w:pPr>
        <w:spacing w:after="120" w:line="264" w:lineRule="auto"/>
        <w:ind w:left="288"/>
      </w:pPr>
      <w:r>
        <w:rPr>
          <w:rFonts w:ascii="Calibri" w:hAnsi="Calibri"/>
          <w:b w:val="0"/>
          <w:i w:val="0"/>
          <w:color w:val="000000"/>
          <w:sz w:val="19"/>
        </w:rPr>
        <w:t>[10] buildingSMART International. Quick Guide to BPMN for IDM development. https://standards.buildingsmart.org/documents/IDM/IDM_guide-QuickGuideToBPMN-2007_01.pdf</w:t>
      </w:r>
    </w:p>
    <w:p>
      <w:r>
        <w:t>[11] buildingSMART International. IFC2x3 TC1 — IfcElementQuantity. https://standards.buildingsmart.org/IFC/RELEASE/IFC2x3/TC1/HTML/ifcproductextension/lexical/ifcelementquantity.htm</w:t>
      </w:r>
    </w:p>
    <w:p>
      <w:r>
        <w:t>[12] buildingSMART International. IFC2x3 TC1 — IfcDoor. https://standards.buildingsmart.org/IFC/RELEASE/IFC2x3/TC1/HTML/ifcsharedbldgelements/lexical/ifcdoor.htm</w:t>
      </w:r>
    </w:p>
    <w:p>
      <w:r>
        <w:t>[13] buildingSMART International. IFC4.3 — Quantity Sets. https://ifc43-docs.standards.buildingsmart.org/IFC/RELEASE/IFC4x3/HTML/concepts/Object_Definition/Quantity_Sets/content.html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6"/>
      </w:rPr>
      <w:t>Dados técnicos BIM: dos requisitos ao modelo IFC validado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B6573"/>
        <w:sz w:val="17"/>
      </w:rPr>
      <w:t>ARTIGO TÉCNICO | GESTÃO DE REQUISITOS BIM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Seis gates para transformar requisitos BIM em modelos IFC validados</dc:title>
  <dc:subject>Fluxo técnico de requisitos, Revit, IFC, Qto/Pset, IDS e validação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