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MEMORANDO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Auditoria de Atoralidade</w:t>
      </w:r>
    </w:p>
    <w:p>
      <w:r>
        <w:rPr>
          <w:rFonts w:ascii="Arial" w:cs="Arial" w:eastAsia="Arial" w:hAnsi="Arial"/>
          <w:color w:val="555555"/>
          <w:sz w:val="22"/>
          <w:szCs w:val="22"/>
        </w:rPr>
        <w:t xml:space="preserve">Svelte Model View Architecture — Interfaces.md &amp; Testing.md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🔵 Citar mais — conceito estabelecido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Explicar mais — contribuição nova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Híbrido — adapta algo existente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Interface.md como contrato primário de pacote UI</w:t>
      </w:r>
    </w:p>
    <w:p>
      <w:r>
        <w:rPr>
          <w:rFonts w:ascii="Arial" w:cs="Arial" w:eastAsia="Arial" w:hAnsi="Arial"/>
          <w:sz w:val="22"/>
          <w:szCs w:val="22"/>
        </w:rPr>
        <w:t xml:space="preserve">A prática de escrever a interface antes da implementação, tendo o documento como "fonte da verdade" que a implementação deve satisfazer, é um caso específico do paradigma amplamente documentado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design-first</w:t>
      </w:r>
      <w:r>
        <w:rPr>
          <w:rFonts w:ascii="Arial" w:cs="Arial" w:eastAsia="Arial" w:hAnsi="Arial"/>
          <w:sz w:val="22"/>
          <w:szCs w:val="22"/>
        </w:rPr>
        <w:t xml:space="preserve"> ou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contract-first</w:t>
      </w:r>
      <w:r>
        <w:rPr>
          <w:rFonts w:ascii="Arial" w:cs="Arial" w:eastAsia="Arial" w:hAnsi="Arial"/>
          <w:sz w:val="22"/>
          <w:szCs w:val="22"/>
        </w:rPr>
        <w:t xml:space="preserve">. Na literatura de engenharia de software de APIs REST e microsserviços, esse paradigma é descrito em detalhe na OpenAPI Specification, no trabalho de Zdenek Nemec sobre API design-first e nos livros de Gojko Adzic sobre Specification by Example.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 distinção entre consumidor-de-componente e contribuidor, com documentos separados para cada audiência, também é um padrão reconhecido — análogo à distinção entre interface pública e módulo interno que aparece em ferramentas como JSDoc/TSDoc e em convenções de bibliotecas como Material UI.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 que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novo</w:t>
      </w:r>
      <w:r>
        <w:rPr>
          <w:rFonts w:ascii="Arial" w:cs="Arial" w:eastAsia="Arial" w:hAnsi="Arial"/>
          <w:sz w:val="22"/>
          <w:szCs w:val="22"/>
        </w:rPr>
        <w:t xml:space="preserve"> nesta arquitetura não é o conceito de design-first nem a distinção de audiências, mas sim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forma e a posição</w:t>
      </w:r>
      <w:r>
        <w:rPr>
          <w:rFonts w:ascii="Arial" w:cs="Arial" w:eastAsia="Arial" w:hAnsi="Arial"/>
          <w:sz w:val="22"/>
          <w:szCs w:val="22"/>
        </w:rPr>
        <w:t xml:space="preserve"> do artefato: um arquivo Markdown escrito em prosa com seções comportamentais (não por tipo técnico), vivendo no repositório junto ao código, com regra explícita de que o documento precede qualquer mudança de API pública. A maioria dos padrões design-first assume ferramentas formais de especificação (OpenAPI YAML, GraphQL SDL). A escolha de prosa-em-Markdown com autoridade sobre a implementação é uma decisão de design sem equivalente direto na literatura.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pode citar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precisa explicar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Design-first / contract-first (OpenAPI, WSDL, Gojko Adzic — Specification by Example); separação de audiências em documentação de bibliotecas (JSDoc, Material UI API Design Guide)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 que Markdown em prosa — e não um schema formal — como fonte de verdade; como a regra de precedência é operacionalizada em PRs; por que o índice organiza por comportamento ao invés de tipo técnico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Convenção is* para direcionalidade de props vs. estado observável</w:t>
      </w:r>
    </w:p>
    <w:p>
      <w:r>
        <w:rPr>
          <w:rFonts w:ascii="Arial" w:cs="Arial" w:eastAsia="Arial" w:hAnsi="Arial"/>
          <w:sz w:val="22"/>
          <w:szCs w:val="22"/>
        </w:rPr>
        <w:t xml:space="preserve">O prefixo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is*</w:t>
      </w:r>
      <w:r>
        <w:rPr>
          <w:rFonts w:ascii="Arial" w:cs="Arial" w:eastAsia="Arial" w:hAnsi="Arial"/>
          <w:sz w:val="22"/>
          <w:szCs w:val="22"/>
        </w:rPr>
        <w:t xml:space="preserve"> para booleanos em componentes UI é uma convenção amplamente documentada e codificada em linters — o ESLint plugin para React tem a regra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boolean-prop-naming</w:t>
      </w:r>
      <w:r>
        <w:rPr>
          <w:rFonts w:ascii="Arial" w:cs="Arial" w:eastAsia="Arial" w:hAnsi="Arial"/>
          <w:sz w:val="22"/>
          <w:szCs w:val="22"/>
        </w:rPr>
        <w:t xml:space="preserve"> com padrão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^(is|has)[A-Z]</w:t>
      </w:r>
      <w:r>
        <w:rPr>
          <w:rFonts w:ascii="Arial" w:cs="Arial" w:eastAsia="Arial" w:hAnsi="Arial"/>
          <w:sz w:val="22"/>
          <w:szCs w:val="22"/>
        </w:rPr>
        <w:t xml:space="preserve"> exatamente para isso. Guias de API de componentes como o do Material UI, Imply e a própria documentação React tratam isso como prática estabelecida.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que é novo</w:t>
      </w:r>
      <w:r>
        <w:rPr>
          <w:rFonts w:ascii="Arial" w:cs="Arial" w:eastAsia="Arial" w:hAnsi="Arial"/>
          <w:sz w:val="22"/>
          <w:szCs w:val="22"/>
        </w:rPr>
        <w:t xml:space="preserve"> nesta arquitetura é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distinção semântica baseada em direcionalidade de fluxo</w:t>
      </w:r>
      <w:r>
        <w:rPr>
          <w:rFonts w:ascii="Arial" w:cs="Arial" w:eastAsia="Arial" w:hAnsi="Arial"/>
          <w:sz w:val="22"/>
          <w:szCs w:val="22"/>
        </w:rPr>
        <w:t xml:space="preserve">: o prefixo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is*</w:t>
      </w:r>
      <w:r>
        <w:rPr>
          <w:rFonts w:ascii="Arial" w:cs="Arial" w:eastAsia="Arial" w:hAnsi="Arial"/>
          <w:sz w:val="22"/>
          <w:szCs w:val="22"/>
        </w:rPr>
        <w:t xml:space="preserve"> é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reservado exclusivamente</w:t>
      </w:r>
      <w:r>
        <w:rPr>
          <w:rFonts w:ascii="Arial" w:cs="Arial" w:eastAsia="Arial" w:hAnsi="Arial"/>
          <w:sz w:val="22"/>
          <w:szCs w:val="22"/>
        </w:rPr>
        <w:t xml:space="preserve"> para estado de saída (componente → consumidor), sendo proibido em props de entrada. Nenhuma convenção existente encontrada na literatura faz essa distinção — os guias consultados aplicam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is*</w:t>
      </w:r>
      <w:r>
        <w:rPr>
          <w:rFonts w:ascii="Arial" w:cs="Arial" w:eastAsia="Arial" w:hAnsi="Arial"/>
          <w:sz w:val="22"/>
          <w:szCs w:val="22"/>
        </w:rPr>
        <w:t xml:space="preserve"> tanto em props de entrada quanto em estado. A arquitetura usa a convenção existente mas a reinterpreta com uma regra estrutural adicional que não existe no mercado. Esse delta precisa de explicação.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pode citar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precisa explicar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Convenção is*/has* para booleanos (ESLint react/boolean-prop-naming; Material UI API Design Guide; guias React de naming conventions)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regra de que is* é EXCLUSIVO de estado de saída (leitura), com adjetivo puro reservado para entrada — essa distinção direcional não existe documentada em nenhuma fonte encontrada e precisa de justificativa explícita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O Model como dono de todos os contratos inter-módulo</w:t>
      </w:r>
    </w:p>
    <w:p>
      <w:r>
        <w:rPr>
          <w:rFonts w:ascii="Arial" w:cs="Arial" w:eastAsia="Arial" w:hAnsi="Arial"/>
          <w:sz w:val="22"/>
          <w:szCs w:val="22"/>
        </w:rPr>
        <w:t xml:space="preserve">A ideia de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interfaces pertencem ao módulo de alto nível</w:t>
      </w:r>
      <w:r>
        <w:rPr>
          <w:rFonts w:ascii="Arial" w:cs="Arial" w:eastAsia="Arial" w:hAnsi="Arial"/>
          <w:sz w:val="22"/>
          <w:szCs w:val="22"/>
        </w:rPr>
        <w:t xml:space="preserve"> (não ao de baixo nível que as implementa) é a segunda parte do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Dependency Inversion Principle</w:t>
      </w:r>
      <w:r>
        <w:rPr>
          <w:rFonts w:ascii="Arial" w:cs="Arial" w:eastAsia="Arial" w:hAnsi="Arial"/>
          <w:sz w:val="22"/>
          <w:szCs w:val="22"/>
        </w:rPr>
        <w:t xml:space="preserve"> (DIP) de Robert C. Martin, formalizado nos SOLID principles. Mikhail Shilkov documenta isso com precisão: "Abstractions should be owned by higher-level modules and implemented by lower-level modules" — exatamente a relação descrita aqui entre Model (dono) e Coordinator/Interaction (implementadores).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que é novo</w:t>
      </w:r>
      <w:r>
        <w:rPr>
          <w:rFonts w:ascii="Arial" w:cs="Arial" w:eastAsia="Arial" w:hAnsi="Arial"/>
          <w:sz w:val="22"/>
          <w:szCs w:val="22"/>
        </w:rPr>
        <w:t xml:space="preserve"> é a aplicação concreta a este contexto específico — um pacote UI com reatividade de framework (Svelte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$effect</w:t>
      </w:r>
      <w:r>
        <w:rPr>
          <w:rFonts w:ascii="Arial" w:cs="Arial" w:eastAsia="Arial" w:hAnsi="Arial"/>
          <w:sz w:val="22"/>
          <w:szCs w:val="22"/>
        </w:rPr>
        <w:t xml:space="preserve">) — e a decisão de colocar todos os contratos inter-módulo em um único arquivo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[Domain].internal-types.ts</w:t>
      </w:r>
      <w:r>
        <w:rPr>
          <w:rFonts w:ascii="Arial" w:cs="Arial" w:eastAsia="Arial" w:hAnsi="Arial"/>
          <w:sz w:val="22"/>
          <w:szCs w:val="22"/>
        </w:rPr>
        <w:t xml:space="preserve">, não exportado, separado dos tipos públicos. A combinação de DIP com a regra de localização e não-exportação do arquivo é uma decisão arquitetural específica que merece explicação.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pode citar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precisa explicar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Dependency Inversion Principle — "interface ownership belongs to high-level module" (Martin, SOLID; Shilkov 2016; Wikipedia DIP); Separated Interface pattern (Fowler, PoEAA)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regra específica de concentrar todos os contratos inter-módulo em [Domain].internal-types.ts não exportado; o racional de por que o Model (e não o Coordinator ou Interaction) é o módulo "alto nível" neste contexto de UI reativa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TDD com Behavioral Spec exaustivo como fundação</w:t>
      </w:r>
    </w:p>
    <w:p>
      <w:r>
        <w:rPr>
          <w:rFonts w:ascii="Arial" w:cs="Arial" w:eastAsia="Arial" w:hAnsi="Arial"/>
          <w:sz w:val="22"/>
          <w:szCs w:val="22"/>
        </w:rPr>
        <w:t xml:space="preserve">O ciclo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 → Green → Refactor</w:t>
      </w:r>
      <w:r>
        <w:rPr>
          <w:rFonts w:ascii="Arial" w:cs="Arial" w:eastAsia="Arial" w:hAnsi="Arial"/>
          <w:sz w:val="22"/>
          <w:szCs w:val="22"/>
        </w:rPr>
        <w:t xml:space="preserve"> descrito no documento é o Canon TDD de Kent Beck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Test-Driven Development by Example</w:t>
      </w:r>
      <w:r>
        <w:rPr>
          <w:rFonts w:ascii="Arial" w:cs="Arial" w:eastAsia="Arial" w:hAnsi="Arial"/>
          <w:sz w:val="22"/>
          <w:szCs w:val="22"/>
        </w:rPr>
        <w:t xml:space="preserve">, 2002; "Canon TDD" no Substack de 2022). A descrição no documento — "escrever o mínimo de código necessário", "um teste por vez", "refatorar sem alterar comportamento" — é uma paráfrase fiel do original.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 ênfase em um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Behavioral Spec exaustivo</w:t>
      </w:r>
      <w:r>
        <w:rPr>
          <w:rFonts w:ascii="Arial" w:cs="Arial" w:eastAsia="Arial" w:hAnsi="Arial"/>
          <w:sz w:val="22"/>
          <w:szCs w:val="22"/>
        </w:rPr>
        <w:t xml:space="preserve"> anterior à implementação, do qual os testes são derivados, é a prática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Specification by Example</w:t>
      </w:r>
      <w:r>
        <w:rPr>
          <w:rFonts w:ascii="Arial" w:cs="Arial" w:eastAsia="Arial" w:hAnsi="Arial"/>
          <w:sz w:val="22"/>
          <w:szCs w:val="22"/>
        </w:rPr>
        <w:t xml:space="preserve"> (Gojko Adzic, 2011) e da linha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BDD</w:t>
      </w:r>
      <w:r>
        <w:rPr>
          <w:rFonts w:ascii="Arial" w:cs="Arial" w:eastAsia="Arial" w:hAnsi="Arial"/>
          <w:sz w:val="22"/>
          <w:szCs w:val="22"/>
        </w:rPr>
        <w:t xml:space="preserve"> (Dan North, 2003—2006,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Introducing BDD</w:t>
      </w:r>
      <w:r>
        <w:rPr>
          <w:rFonts w:ascii="Arial" w:cs="Arial" w:eastAsia="Arial" w:hAnsi="Arial"/>
          <w:sz w:val="22"/>
          <w:szCs w:val="22"/>
        </w:rPr>
        <w:t xml:space="preserve">). Testes organizados por seção do Spec (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§2.1 Idle → Animating</w:t>
      </w:r>
      <w:r>
        <w:rPr>
          <w:rFonts w:ascii="Arial" w:cs="Arial" w:eastAsia="Arial" w:hAnsi="Arial"/>
          <w:sz w:val="22"/>
          <w:szCs w:val="22"/>
        </w:rPr>
        <w:t xml:space="preserve">) é uma forma 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living documentation</w:t>
      </w:r>
      <w:r>
        <w:rPr>
          <w:rFonts w:ascii="Arial" w:cs="Arial" w:eastAsia="Arial" w:hAnsi="Arial"/>
          <w:sz w:val="22"/>
          <w:szCs w:val="22"/>
        </w:rPr>
        <w:t xml:space="preserve"> da tradição BDD.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que é novo</w:t>
      </w:r>
      <w:r>
        <w:rPr>
          <w:rFonts w:ascii="Arial" w:cs="Arial" w:eastAsia="Arial" w:hAnsi="Arial"/>
          <w:sz w:val="22"/>
          <w:szCs w:val="22"/>
        </w:rPr>
        <w:t xml:space="preserve"> é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sequência de quatro artefatos</w:t>
      </w:r>
      <w:r>
        <w:rPr>
          <w:rFonts w:ascii="Arial" w:cs="Arial" w:eastAsia="Arial" w:hAnsi="Arial"/>
          <w:sz w:val="22"/>
          <w:szCs w:val="22"/>
        </w:rPr>
        <w:t xml:space="preserve"> (Behavioral Spec → Interface.md → Implementação → Checklist) como pipeline explícito e sua ligação com a granularidade camada-a-camada. A maior parte da literatura TDD/BDD foca em um único tipo de teste; a stratificação em Model (estado puro), Coordinator (DOM/JSDOM), Interaction (evento sintético) e View (checklist visual) — cada uma com estratégia distinta — é uma contribuição de design não documentada em fontes gerais.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pode citar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precisa explicar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Red/Green/Refactor (Kent Beck, TDD by Example, 2002; Canon TDD, 2022; Martin Fowler bliki); Specification by Example (Gojko Adzic, 2011); BDD e living documentation (Dan North, 2003; Agile Alliance glossary)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sequência de quatro artefatos como pipeline explícito (Spec → Interface.md → Impl → Checklist); a estratificação de estratégias de teste por camada (puro/JSDOM/sintético/visual) e o racional de por que cada camada usa uma abordagem diferente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Testes de Coordinator e Interaction como specs legíveis</w:t>
      </w:r>
    </w:p>
    <w:p>
      <w:r>
        <w:rPr>
          <w:rFonts w:ascii="Arial" w:cs="Arial" w:eastAsia="Arial" w:hAnsi="Arial"/>
          <w:sz w:val="22"/>
          <w:szCs w:val="22"/>
        </w:rPr>
        <w:t xml:space="preserve">A ideia de que testes bem escritos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são</w:t>
      </w:r>
      <w:r>
        <w:rPr>
          <w:rFonts w:ascii="Arial" w:cs="Arial" w:eastAsia="Arial" w:hAnsi="Arial"/>
          <w:sz w:val="22"/>
          <w:szCs w:val="22"/>
        </w:rPr>
        <w:t xml:space="preserve"> a especificação do módulo — em vez de documentação separada — é uma prática estabelecida no TDD clássico. Kent Beck descreve que a suite de testes é um "executable specification". Na tradição BDD, Dan North e Chris Matts formalizaram que os cenários de teste são a documentação do comportamento. O agiledox (Chris Stevenson, 2003) já gerava documentação automaticamente a partir de testes JUnit.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que é novo</w:t>
      </w:r>
      <w:r>
        <w:rPr>
          <w:rFonts w:ascii="Arial" w:cs="Arial" w:eastAsia="Arial" w:hAnsi="Arial"/>
          <w:sz w:val="22"/>
          <w:szCs w:val="22"/>
        </w:rPr>
        <w:t xml:space="preserve"> é a declaração explícita de que,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apenas para Coordinator e Interaction</w:t>
      </w:r>
      <w:r>
        <w:rPr>
          <w:rFonts w:ascii="Arial" w:cs="Arial" w:eastAsia="Arial" w:hAnsi="Arial"/>
          <w:sz w:val="22"/>
          <w:szCs w:val="22"/>
        </w:rPr>
        <w:t xml:space="preserve">, os testes cumprem simultaneamente o papel de spec e de verificação — enquanto o Model tem um Behavioral Spec formal separado. Essa assimetria deliberada entre módulos (spec formal para Model, testes-como-spec para os demais) é uma decisão de design que precisa de justificativa: por que o Coordinator não merece um Behavioral Spec formal? O texto menciona que é uma questão de "formalidade e sequência", mas não desenvolve o racional.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pode citar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precisa explicar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como especificação executável (Kent Beck, TDD by Example); agiledox (Stevenson, 2003); BDD como "specs of behavior" (Dan North, Introducing BDD)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racional da assimetria: por que Model exige Spec formal e Coordinator/Interaction não; quando essa distinção se sustenta e quando pode produzir gaps de cobertura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Tagueamento de testes (unit / integration / benchmark / slow)</w:t>
      </w:r>
    </w:p>
    <w:p>
      <w:r>
        <w:rPr>
          <w:rFonts w:ascii="Arial" w:cs="Arial" w:eastAsia="Arial" w:hAnsi="Arial"/>
          <w:sz w:val="22"/>
          <w:szCs w:val="22"/>
        </w:rPr>
        <w:t xml:space="preserve">A separação de suites de testes por velocidade e tipo para controle de CI é uma prática de engenharia amplamente adotada — documentada no xUnit Patterns (Gerard Meszaros), na literatura de continuous integration (Fowler, Humble &amp; Farley em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Continuous Delivery</w:t>
      </w:r>
      <w:r>
        <w:rPr>
          <w:rFonts w:ascii="Arial" w:cs="Arial" w:eastAsia="Arial" w:hAnsi="Arial"/>
          <w:sz w:val="22"/>
          <w:szCs w:val="22"/>
        </w:rPr>
        <w:t xml:space="preserve">), e nas próprias ferramentas (Vitest tem suporte nativo a tags e bench desde o início). A distinção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unit</w:t>
      </w:r>
      <w:r>
        <w:rPr>
          <w:rFonts w:ascii="Arial" w:cs="Arial" w:eastAsia="Arial" w:hAnsi="Arial"/>
          <w:sz w:val="22"/>
          <w:szCs w:val="22"/>
        </w:rPr>
        <w:t xml:space="preserve"> vs.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integration</w:t>
      </w:r>
      <w:r>
        <w:rPr>
          <w:rFonts w:ascii="Arial" w:cs="Arial" w:eastAsia="Arial" w:hAnsi="Arial"/>
          <w:sz w:val="22"/>
          <w:szCs w:val="22"/>
        </w:rPr>
        <w:t xml:space="preserve"> é léxico padrão.</w:t>
      </w:r>
    </w:p>
    <w:p>
      <w:r>
        <w:rPr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O que é novo</w:t>
      </w:r>
      <w:r>
        <w:rPr>
          <w:rFonts w:ascii="Arial" w:cs="Arial" w:eastAsia="Arial" w:hAnsi="Arial"/>
          <w:sz w:val="22"/>
          <w:szCs w:val="22"/>
        </w:rPr>
        <w:t xml:space="preserve">, ou ao menos não documentado de forma padrão, é a inclusão explícita de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benchmark</w:t>
      </w:r>
      <w:r>
        <w:rPr>
          <w:rFonts w:ascii="Arial" w:cs="Arial" w:eastAsia="Arial" w:hAnsi="Arial"/>
          <w:sz w:val="22"/>
          <w:szCs w:val="22"/>
        </w:rPr>
        <w:t xml:space="preserve"> como tag de primeiro nível no mesmo sistema, com semântica de "comparativo de performance relativa entre commits" (não absoluta). A maioria dos guias trata benchmarks como ferramenta separada do pipeline de testes. Formalizar isso junto com unit/integration como um sistema unificado de categorização é uma decisão de design que pode ser explicada brevemente.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pode citar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precisa explicar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Separação unit/integration por velocidade de CI (xUnit Patterns — Meszaros; Continuous Delivery — Humble &amp; Farley); suporte nativo de tags em Vitest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inclusão de benchmark como tag de primeiro nível no mesmo sistema e a semântica de "performance relativa entre commits" (não absoluta) — por que essa decisão e como ela se integra ao pipeline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Sumário executivo</w:t>
      </w:r>
    </w:p>
    <w:p>
      <w:r>
        <w:rPr>
          <w:rFonts w:ascii="Arial" w:cs="Arial" w:eastAsia="Arial" w:hAnsi="Arial"/>
          <w:sz w:val="22"/>
          <w:szCs w:val="22"/>
        </w:rPr>
        <w:t xml:space="preserve">A tabela a seguir resume o diagnóstico de atoralidade por tópico.</w:t>
      </w:r>
    </w:p>
    <w:p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800"/>
        <w:gridCol w:w="3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Tópico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recomendada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Interface.md como contrato design-first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Híbrido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Citar design-first/Spec by Example; explicar a escolha de Markdown sobre schema formal e o índice por comportamento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Convenção is* exclusivo de saída vs. adjetivo de entrada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F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🟢 Novo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Citar convenção is* existente; explicar a regra direcional adicional, que não existe na literatura consultada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Model como dono de contratos inter-módulo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Híbrido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Citar DIP / Separated Interface pattern (Martin, Fowler); explicar a aplicação ao contexto UI reativa e a regra do arquivo .internal-types.ts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TDD com Behavioral Spec como fundação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🔵 Citar mais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Citar Kent Beck (TDD by Example), Gojko Adzic (Spec by Example), Dan North (BDD) — o pipeline de quatro artefatos e a estratificação de camadas são novos, mas o núcleo é estabelecido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Testes de Coordinator/Interaction como specs legíveis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Híbrido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Citar testes-como-spec (Beck, North, agiledox); explicar a assimetria deliberada com o Model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Tagueamento unit/integration/benchmark/slow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🟡 Híbrido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Citar práticas de CI (Humble &amp; Farley, xUnit Patterns); explicar a semântica específica de benchmark como tag de primeiro nível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jc w:val="right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Gerado com base em busca em fontes abertas — março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509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2026-03-25T17:49:51.518Z</dcterms:created>
  <dcterms:modified xsi:type="dcterms:W3CDTF">2026-03-25T17:49:51.519Z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