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00"/>
      </w:pPr>
      <w:r>
        <w:rPr>
          <w:rFonts w:ascii="Arial" w:hAnsi="Arial"/>
          <w:b/>
          <w:color w:val="176B70"/>
          <w:sz w:val="26"/>
        </w:rPr>
        <w:t>BID FACTORY</w:t>
      </w:r>
    </w:p>
    <w:p>
      <w:pPr>
        <w:spacing w:after="160"/>
      </w:pPr>
      <w:r>
        <w:rPr>
          <w:rFonts w:ascii="Arial" w:hAnsi="Arial"/>
          <w:b/>
          <w:color w:val="1F3557"/>
          <w:sz w:val="60"/>
        </w:rPr>
        <w:t>Operator Handover Primer</w:t>
      </w:r>
    </w:p>
    <w:p>
      <w:pPr>
        <w:spacing w:after="560"/>
      </w:pPr>
      <w:r>
        <w:rPr>
          <w:rFonts w:ascii="Arial" w:hAnsi="Arial"/>
          <w:color w:val="3E4752"/>
          <w:sz w:val="28"/>
        </w:rPr>
        <w:t>How to sell, operate, review, and deliver the first paid federal bid pilot</w:t>
      </w:r>
    </w:p>
    <w:tbl>
      <w:tblPr>
        <w:tblW w:type="auto" w:w="0"/>
        <w:jc w:val="center"/>
        <w:tblLook w:firstColumn="1" w:firstRow="1" w:lastColumn="0" w:lastRow="0" w:noHBand="0" w:noVBand="1" w:val="04A0"/>
      </w:tblPr>
      <w:tblGrid>
        <w:gridCol w:w="10166"/>
      </w:tblGrid>
      <w:tr>
        <w:trPr>
          <w:tblHeader w:val="true"/>
        </w:trPr>
        <w:tc>
          <w:tcPr>
            <w:tcW w:type="dxa" w:w="10166"/>
            <w:shd w:fill="E8F2F2"/>
            <w:tcBorders>
              <w:top w:val="single" w:sz="6" w:color="E8F2F2"/>
              <w:start w:val="single" w:sz="6" w:color="E8F2F2"/>
              <w:bottom w:val="single" w:sz="6" w:color="E8F2F2"/>
              <w:end w:val="single" w:sz="6" w:color="E8F2F2"/>
              <w:insideH w:val="single" w:sz="6" w:color="E8F2F2"/>
              <w:insideV w:val="single" w:sz="6" w:color="E8F2F2"/>
            </w:tcBorders>
            <w:tcMar>
              <w:top w:w="125" w:type="dxa"/>
              <w:start w:w="150" w:type="dxa"/>
              <w:bottom w:w="125" w:type="dxa"/>
              <w:end w:w="150" w:type="dxa"/>
            </w:tcMar>
          </w:tcPr>
          <w:p>
            <w:pPr>
              <w:spacing w:after="60"/>
            </w:pPr>
            <w:r>
              <w:rPr>
                <w:rFonts w:ascii="Arial" w:hAnsi="Arial"/>
                <w:b/>
                <w:color w:val="1F3557"/>
                <w:sz w:val="20"/>
              </w:rPr>
              <w:t>The handover in one sentence</w:t>
            </w:r>
          </w:p>
          <w:p>
            <w:pPr>
              <w:spacing w:after="0"/>
            </w:pPr>
            <w:r>
              <w:rPr>
                <w:rFonts w:ascii="Arial" w:hAnsi="Arial"/>
                <w:color w:val="111827"/>
                <w:sz w:val="18"/>
              </w:rPr>
              <w:t>Sell one narrow proposal service for simple civilian janitorial RFQs. Use the app to control evidence and compliance. Require customer facts, independent review, and final human approval before delivery.</w:t>
            </w:r>
          </w:p>
        </w:tc>
      </w:tr>
    </w:tbl>
    <w:p>
      <w:pPr>
        <w:spacing w:after="0"/>
      </w:pPr>
    </w:p>
    <w:p>
      <w:pPr>
        <w:spacing w:before="1700" w:after="60"/>
      </w:pPr>
      <w:r>
        <w:rPr>
          <w:rFonts w:ascii="Arial" w:hAnsi="Arial"/>
          <w:b/>
          <w:color w:val="1F3557"/>
          <w:sz w:val="20"/>
        </w:rPr>
        <w:t>Prepared for the next owner and operator</w:t>
      </w:r>
    </w:p>
    <w:p>
      <w:pPr>
        <w:spacing w:after="40"/>
      </w:pPr>
      <w:r>
        <w:rPr>
          <w:rFonts w:ascii="Arial" w:hAnsi="Arial"/>
          <w:color w:val="3E4752"/>
          <w:sz w:val="19"/>
        </w:rPr>
        <w:t>Prepared 27 September 2026</w:t>
      </w:r>
    </w:p>
    <w:p>
      <w:r>
        <w:rPr>
          <w:rFonts w:ascii="Arial" w:hAnsi="Arial"/>
          <w:color w:val="3E4752"/>
          <w:sz w:val="19"/>
        </w:rPr>
        <w:t>Status  V0 local operator service</w:t>
      </w:r>
    </w:p>
    <w:p>
      <w:r>
        <w:br w:type="page"/>
      </w:r>
    </w:p>
    <w:p>
      <w:pPr>
        <w:pStyle w:val="Heading1"/>
        <w:keepNext/>
      </w:pPr>
      <w:r>
        <w:rPr>
          <w:rFonts w:ascii="Arial" w:hAnsi="Arial"/>
          <w:b/>
          <w:color w:val="1F3557"/>
          <w:sz w:val="40"/>
        </w:rPr>
        <w:t>Start here</w:t>
      </w:r>
    </w:p>
    <w:p>
      <w:pPr>
        <w:pStyle w:val="BodyText"/>
      </w:pPr>
      <w:r>
        <w:rPr>
          <w:rFonts w:ascii="Arial" w:hAnsi="Arial"/>
          <w:color w:val="111827"/>
          <w:sz w:val="19"/>
        </w:rPr>
        <w:t>This primer gives you the business, product, sales, delivery, and risk controls needed to take over Bid Factory.</w:t>
      </w:r>
    </w:p>
    <w:p>
      <w:pPr>
        <w:pStyle w:val="BodyText"/>
      </w:pPr>
      <w:r>
        <w:rPr>
          <w:rFonts w:ascii="Arial" w:hAnsi="Arial"/>
          <w:color w:val="111827"/>
          <w:sz w:val="19"/>
        </w:rPr>
        <w:t>Read this section first. Then use the detailed procedures during sales and delivery.</w:t>
      </w:r>
    </w:p>
    <w:p>
      <w:pPr>
        <w:pStyle w:val="Heading2"/>
        <w:keepNext/>
      </w:pPr>
      <w:r>
        <w:rPr>
          <w:rFonts w:ascii="Arial" w:hAnsi="Arial"/>
          <w:b/>
          <w:color w:val="176B70"/>
          <w:sz w:val="27"/>
        </w:rPr>
        <w:t>What Bid Factory does</w:t>
      </w:r>
    </w:p>
    <w:p>
      <w:pPr>
        <w:pStyle w:val="BodyText"/>
      </w:pPr>
      <w:r>
        <w:rPr>
          <w:rFonts w:ascii="Arial" w:hAnsi="Arial"/>
          <w:color w:val="111827"/>
          <w:sz w:val="19"/>
        </w:rPr>
        <w:t>Bid Factory helps a small federal contractor prepare one evidence-grounded response to a simple civilian service request for quotation.</w:t>
      </w:r>
    </w:p>
    <w:p>
      <w:pPr>
        <w:pStyle w:val="BodyText"/>
      </w:pPr>
      <w:r>
        <w:rPr>
          <w:rFonts w:ascii="Arial" w:hAnsi="Arial"/>
          <w:color w:val="111827"/>
          <w:sz w:val="19"/>
        </w:rPr>
        <w:t>The customer sends the solicitation, amendments, company documents, prices, and commitments. The operator produces a reviewed response package.</w:t>
      </w:r>
    </w:p>
    <w:tbl>
      <w:tblPr>
        <w:tblW w:type="auto" w:w="0"/>
        <w:jc w:val="center"/>
        <w:tblLook w:firstColumn="1" w:firstRow="1" w:lastColumn="0" w:lastRow="0" w:noHBand="0" w:noVBand="1" w:val="04A0"/>
      </w:tblPr>
      <w:tblGrid>
        <w:gridCol w:w="10166"/>
      </w:tblGrid>
      <w:tr>
        <w:trPr>
          <w:tblHeader w:val="true"/>
        </w:trPr>
        <w:tc>
          <w:tcPr>
            <w:tcW w:type="dxa" w:w="10166"/>
            <w:shd w:fill="EAF0F8"/>
            <w:tcBorders>
              <w:top w:val="single" w:sz="6" w:color="B8C8DD"/>
              <w:start w:val="single" w:sz="6" w:color="B8C8DD"/>
              <w:bottom w:val="single" w:sz="6" w:color="B8C8DD"/>
              <w:end w:val="single" w:sz="6" w:color="B8C8DD"/>
              <w:insideH w:val="single" w:sz="6" w:color="B8C8DD"/>
              <w:insideV w:val="single" w:sz="6" w:color="B8C8DD"/>
            </w:tcBorders>
            <w:tcMar>
              <w:top w:w="125" w:type="dxa"/>
              <w:start w:w="150" w:type="dxa"/>
              <w:bottom w:w="125" w:type="dxa"/>
              <w:end w:w="150" w:type="dxa"/>
            </w:tcMar>
          </w:tcPr>
          <w:p>
            <w:pPr>
              <w:spacing w:after="60"/>
            </w:pPr>
            <w:r>
              <w:rPr>
                <w:rFonts w:ascii="Arial" w:hAnsi="Arial"/>
                <w:b/>
                <w:color w:val="1F3557"/>
                <w:sz w:val="20"/>
              </w:rPr>
              <w:t>Core promise</w:t>
            </w:r>
          </w:p>
          <w:p>
            <w:pPr>
              <w:spacing w:after="0"/>
            </w:pPr>
            <w:r>
              <w:rPr>
                <w:rFonts w:ascii="Arial" w:hAnsi="Arial"/>
                <w:color w:val="111827"/>
                <w:sz w:val="18"/>
              </w:rPr>
              <w:t>Upload the solicitation and company records. Receive a compliance-checked proposal package with a source trail for every factual claim.</w:t>
            </w:r>
          </w:p>
        </w:tc>
      </w:tr>
    </w:tbl>
    <w:p>
      <w:pPr>
        <w:spacing w:after="0"/>
      </w:pPr>
    </w:p>
    <w:p>
      <w:pPr>
        <w:pStyle w:val="Heading2"/>
        <w:keepNext/>
      </w:pPr>
      <w:r>
        <w:rPr>
          <w:rFonts w:ascii="Arial" w:hAnsi="Arial"/>
          <w:b/>
          <w:color w:val="176B70"/>
          <w:sz w:val="27"/>
        </w:rPr>
        <w:t>What the operator owns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Area</w:t>
            </w:r>
          </w:p>
        </w:tc>
        <w:tc>
          <w:tcPr>
            <w:tcW w:type="dxa" w:w="856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Operator responsibility</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Sales</w:t>
            </w:r>
          </w:p>
        </w:tc>
        <w:tc>
          <w:tcPr>
            <w:tcW w:type="dxa" w:w="856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Select suitable opportunities, research contractors, send approved outreach, run the demonstration, and close the pilot.</w:t>
            </w:r>
          </w:p>
        </w:tc>
      </w:tr>
      <w:tr>
        <w:trPr>
          <w:cantSplit/>
          <w:trHeight w:hRule="atLeast"/>
        </w:trPr>
        <w:tc>
          <w:tcPr>
            <w:tcW w:type="dxa" w:w="18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Intake</w:t>
            </w:r>
          </w:p>
        </w:tc>
        <w:tc>
          <w:tcPr>
            <w:tcW w:type="dxa" w:w="856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Confirm scope, funds, source completeness, customer permission, reviewer availability, and the government deadline.</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Production</w:t>
            </w:r>
          </w:p>
        </w:tc>
        <w:tc>
          <w:tcPr>
            <w:tcW w:type="dxa" w:w="856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Run extraction, verify sources, approve evidence, manage questions, generate the draft, and resolve findings.</w:t>
            </w:r>
          </w:p>
        </w:tc>
      </w:tr>
      <w:tr>
        <w:trPr>
          <w:cantSplit/>
          <w:trHeight w:hRule="atLeast"/>
        </w:trPr>
        <w:tc>
          <w:tcPr>
            <w:tcW w:type="dxa" w:w="18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Review</w:t>
            </w:r>
          </w:p>
        </w:tc>
        <w:tc>
          <w:tcPr>
            <w:tcW w:type="dxa" w:w="856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Commission the independent reviewer after the deposit clears. Bind approval to the exact final files.</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Delivery</w:t>
            </w:r>
          </w:p>
        </w:tc>
        <w:tc>
          <w:tcPr>
            <w:tcW w:type="dxa" w:w="856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Collect customer approval and the balance. Release the final package for customer submission.</w:t>
            </w:r>
          </w:p>
        </w:tc>
      </w:tr>
    </w:tbl>
    <w:p>
      <w:pPr>
        <w:spacing w:after="0"/>
      </w:pPr>
    </w:p>
    <w:p>
      <w:pPr>
        <w:pStyle w:val="Heading2"/>
        <w:keepNext/>
      </w:pPr>
      <w:r>
        <w:rPr>
          <w:rFonts w:ascii="Arial" w:hAnsi="Arial"/>
          <w:b/>
          <w:color w:val="176B70"/>
          <w:sz w:val="27"/>
        </w:rPr>
        <w:t>The current truth</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11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Ready now</w:t>
            </w:r>
          </w:p>
        </w:tc>
        <w:tc>
          <w:tcPr>
            <w:tcW w:type="dxa" w:w="525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Still required</w:t>
            </w:r>
          </w:p>
        </w:tc>
      </w:tr>
      <w:tr>
        <w:trPr>
          <w:cantSplit/>
          <w:trHeight w:hRule="atLeast"/>
        </w:trPr>
        <w:tc>
          <w:tcPr>
            <w:tcW w:type="dxa" w:w="511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Local app, source ledger, evidence map, questions, proposal assembly, audit, blockers, DOCX/PDF export</w:t>
            </w:r>
          </w:p>
        </w:tc>
        <w:tc>
          <w:tcPr>
            <w:tcW w:type="dxa" w:w="525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real customer, a real accepted RFQ, and an expert review of the completed real package</w:t>
            </w:r>
          </w:p>
        </w:tc>
      </w:tr>
      <w:tr>
        <w:trPr>
          <w:cantSplit/>
          <w:trHeight w:hRule="atLeast"/>
        </w:trPr>
        <w:tc>
          <w:tcPr>
            <w:tcW w:type="dxa" w:w="511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OpenRouter connection and two-model workflow</w:t>
            </w:r>
          </w:p>
        </w:tc>
        <w:tc>
          <w:tcPr>
            <w:tcW w:type="dxa" w:w="525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rotated OpenRouter key before customer use</w:t>
            </w:r>
          </w:p>
        </w:tc>
      </w:tr>
      <w:tr>
        <w:trPr>
          <w:cantSplit/>
          <w:trHeight w:hRule="atLeast"/>
        </w:trPr>
        <w:tc>
          <w:tcPr>
            <w:tcW w:type="dxa" w:w="511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Offer, order form, reviewer brief, sales scripts, delivery checklist, and fictional sample</w:t>
            </w:r>
          </w:p>
        </w:tc>
        <w:tc>
          <w:tcPr>
            <w:tcW w:type="dxa" w:w="525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Seller details, payment account, business email, private intake folder, and consent process</w:t>
            </w:r>
          </w:p>
        </w:tc>
      </w:tr>
      <w:tr>
        <w:trPr>
          <w:cantSplit/>
          <w:trHeight w:hRule="atLeast"/>
        </w:trPr>
        <w:tc>
          <w:tcPr>
            <w:tcW w:type="dxa" w:w="511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Monid command-line tool version 0.1.7</w:t>
            </w:r>
          </w:p>
        </w:tc>
        <w:tc>
          <w:tcPr>
            <w:tcW w:type="dxa" w:w="525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Monid API key, verified calling access, and an approved campaign budget</w:t>
            </w:r>
          </w:p>
        </w:tc>
      </w:tr>
      <w:tr>
        <w:trPr>
          <w:cantSplit/>
          <w:trHeight w:hRule="atLeast"/>
        </w:trPr>
        <w:tc>
          <w:tcPr>
            <w:tcW w:type="dxa" w:w="511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52 automated tests and a synthetic hostile audit</w:t>
            </w:r>
          </w:p>
        </w:tc>
        <w:tc>
          <w:tcPr>
            <w:tcW w:type="dxa" w:w="525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Private production hosting if a remote operator or customer needs access</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FF4D6"/>
            <w:tcBorders>
              <w:top w:val="single" w:sz="6" w:color="FFF4D6"/>
              <w:start w:val="single" w:sz="6" w:color="FFF4D6"/>
              <w:bottom w:val="single" w:sz="6" w:color="FFF4D6"/>
              <w:end w:val="single" w:sz="6" w:color="FFF4D6"/>
              <w:insideH w:val="single" w:sz="6" w:color="FFF4D6"/>
              <w:insideV w:val="single" w:sz="6" w:color="FFF4D6"/>
            </w:tcBorders>
            <w:tcMar>
              <w:top w:w="125" w:type="dxa"/>
              <w:start w:w="150" w:type="dxa"/>
              <w:bottom w:w="125" w:type="dxa"/>
              <w:end w:w="150" w:type="dxa"/>
            </w:tcMar>
          </w:tcPr>
          <w:p>
            <w:pPr>
              <w:spacing w:after="60"/>
            </w:pPr>
            <w:r>
              <w:rPr>
                <w:rFonts w:ascii="Arial" w:hAnsi="Arial"/>
                <w:b/>
                <w:color w:val="1F3557"/>
                <w:sz w:val="20"/>
              </w:rPr>
              <w:t>Current server state</w:t>
            </w:r>
          </w:p>
          <w:p>
            <w:pPr>
              <w:spacing w:after="0"/>
            </w:pPr>
            <w:r>
              <w:rPr>
                <w:rFonts w:ascii="Arial" w:hAnsi="Arial"/>
                <w:color w:val="111827"/>
                <w:sz w:val="18"/>
              </w:rPr>
              <w:t>The app is runnable from the project folder. It was stopped when this primer was prepared.</w:t>
            </w:r>
          </w:p>
        </w:tc>
      </w:tr>
    </w:tbl>
    <w:p>
      <w:pPr>
        <w:spacing w:after="0"/>
      </w:pPr>
    </w:p>
    <w:p>
      <w:r>
        <w:br w:type="page"/>
      </w:r>
    </w:p>
    <w:p>
      <w:pPr>
        <w:pStyle w:val="Heading1"/>
        <w:keepNext/>
      </w:pPr>
      <w:r>
        <w:rPr>
          <w:rFonts w:ascii="Arial" w:hAnsi="Arial"/>
          <w:b/>
          <w:color w:val="1F3557"/>
          <w:sz w:val="40"/>
        </w:rPr>
        <w:t>The business model</w:t>
      </w:r>
    </w:p>
    <w:p>
      <w:pPr>
        <w:pStyle w:val="Heading2"/>
        <w:keepNext/>
      </w:pPr>
      <w:r>
        <w:rPr>
          <w:rFonts w:ascii="Arial" w:hAnsi="Arial"/>
          <w:b/>
          <w:color w:val="176B70"/>
          <w:sz w:val="27"/>
        </w:rPr>
        <w:t>Initial customer</w:t>
      </w:r>
    </w:p>
    <w:p>
      <w:pPr>
        <w:pStyle w:val="BodyText"/>
      </w:pPr>
      <w:r>
        <w:rPr>
          <w:rFonts w:ascii="Arial" w:hAnsi="Arial"/>
          <w:color w:val="111827"/>
          <w:sz w:val="19"/>
        </w:rPr>
        <w:t>Start with an established small janitorial contractor that prepares bids without a dedicated proposal team.</w:t>
      </w:r>
    </w:p>
    <w:p>
      <w:pPr>
        <w:pStyle w:val="ListBullet"/>
        <w:spacing w:after="50"/>
      </w:pPr>
      <w:r>
        <w:rPr>
          <w:rFonts w:ascii="Arial" w:hAnsi="Arial"/>
          <w:color w:val="111827"/>
          <w:sz w:val="18"/>
        </w:rPr>
        <w:t>Choose a simple civilian federal janitorial RFQ.</w:t>
      </w:r>
    </w:p>
    <w:p>
      <w:pPr>
        <w:pStyle w:val="ListBullet"/>
        <w:spacing w:after="50"/>
      </w:pPr>
      <w:r>
        <w:rPr>
          <w:rFonts w:ascii="Arial" w:hAnsi="Arial"/>
          <w:color w:val="111827"/>
          <w:sz w:val="18"/>
        </w:rPr>
        <w:t>Require documented comparable work and available references.</w:t>
      </w:r>
    </w:p>
    <w:p>
      <w:pPr>
        <w:pStyle w:val="ListBullet"/>
        <w:spacing w:after="50"/>
      </w:pPr>
      <w:r>
        <w:rPr>
          <w:rFonts w:ascii="Arial" w:hAnsi="Arial"/>
          <w:color w:val="111827"/>
          <w:sz w:val="18"/>
        </w:rPr>
        <w:t>Require a named person who controls pricing and final approval.</w:t>
      </w:r>
    </w:p>
    <w:p>
      <w:pPr>
        <w:pStyle w:val="ListBullet"/>
        <w:spacing w:after="50"/>
      </w:pPr>
      <w:r>
        <w:rPr>
          <w:rFonts w:ascii="Arial" w:hAnsi="Arial"/>
          <w:color w:val="111827"/>
          <w:sz w:val="18"/>
        </w:rPr>
        <w:t>Require fast answers to missing-information questions.</w:t>
      </w:r>
    </w:p>
    <w:p>
      <w:pPr>
        <w:pStyle w:val="ListBullet"/>
        <w:spacing w:after="50"/>
      </w:pPr>
      <w:r>
        <w:rPr>
          <w:rFonts w:ascii="Arial" w:hAnsi="Arial"/>
          <w:color w:val="111827"/>
          <w:sz w:val="18"/>
        </w:rPr>
        <w:t>Reject defense, classified, controlled-information, complex cost, and multi-volume packages in V0.</w:t>
      </w:r>
    </w:p>
    <w:p>
      <w:pPr>
        <w:pStyle w:val="Heading2"/>
        <w:keepNext/>
      </w:pPr>
      <w:r>
        <w:rPr>
          <w:rFonts w:ascii="Arial" w:hAnsi="Arial"/>
          <w:b/>
          <w:color w:val="176B70"/>
          <w:sz w:val="27"/>
        </w:rPr>
        <w:t>Paid pilot offer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Term</w:t>
            </w:r>
          </w:p>
        </w:tc>
        <w:tc>
          <w:tcPr>
            <w:tcW w:type="dxa" w:w="828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Pilot term</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Service fee</w:t>
            </w:r>
          </w:p>
        </w:tc>
        <w:tc>
          <w:tcPr>
            <w:tcW w:type="dxa" w:w="82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$1,500 USD for one accepted pilot</w:t>
            </w:r>
          </w:p>
        </w:tc>
      </w:tr>
      <w:tr>
        <w:trPr>
          <w:cantSplit/>
          <w:trHeight w:hRule="atLeast"/>
        </w:trPr>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Deposit</w:t>
            </w:r>
          </w:p>
        </w:tc>
        <w:tc>
          <w:tcPr>
            <w:tcW w:type="dxa" w:w="82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$750 after the fit check and accepted order</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Balance</w:t>
            </w:r>
          </w:p>
        </w:tc>
        <w:tc>
          <w:tcPr>
            <w:tcW w:type="dxa" w:w="82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$750 after customer acceptance and before final editable-file release</w:t>
            </w:r>
          </w:p>
        </w:tc>
      </w:tr>
      <w:tr>
        <w:trPr>
          <w:cantSplit/>
          <w:trHeight w:hRule="atLeast"/>
        </w:trPr>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Scope</w:t>
            </w:r>
          </w:p>
        </w:tc>
        <w:tc>
          <w:tcPr>
            <w:tcW w:type="dxa" w:w="82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One civilian janitorial RFQ, up to 60 source pages, 30 evidence pages, a 10-page response, and three references</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Revisions</w:t>
            </w:r>
          </w:p>
        </w:tc>
        <w:tc>
          <w:tcPr>
            <w:tcW w:type="dxa" w:w="82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One customer revision round and one reviewer correction check</w:t>
            </w:r>
          </w:p>
        </w:tc>
      </w:tr>
      <w:tr>
        <w:trPr>
          <w:cantSplit/>
          <w:trHeight w:hRule="atLeast"/>
        </w:trPr>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Target time</w:t>
            </w:r>
          </w:p>
        </w:tc>
        <w:tc>
          <w:tcPr>
            <w:tcW w:type="dxa" w:w="82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Five business days after complete intake, cleared funds, and a confirmed reviewer slot</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Submission</w:t>
            </w:r>
          </w:p>
        </w:tc>
        <w:tc>
          <w:tcPr>
            <w:tcW w:type="dxa" w:w="82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customer signs forms and submits the package</w:t>
            </w:r>
          </w:p>
        </w:tc>
      </w:tr>
    </w:tbl>
    <w:p>
      <w:pPr>
        <w:spacing w:after="0"/>
      </w:pPr>
    </w:p>
    <w:p>
      <w:pPr>
        <w:pStyle w:val="BodyText"/>
      </w:pPr>
      <w:r>
        <w:rPr>
          <w:rFonts w:ascii="Arial" w:hAnsi="Arial"/>
          <w:color w:val="111827"/>
          <w:sz w:val="19"/>
        </w:rPr>
        <w:t>The solicitation always controls page limits and required content. Confirm any taxes before the customer accepts the order.</w:t>
      </w:r>
    </w:p>
    <w:p>
      <w:pPr>
        <w:pStyle w:val="Heading2"/>
        <w:keepNext/>
      </w:pPr>
      <w:r>
        <w:rPr>
          <w:rFonts w:ascii="Arial" w:hAnsi="Arial"/>
          <w:b/>
          <w:color w:val="176B70"/>
          <w:sz w:val="27"/>
        </w:rPr>
        <w:t>Cash rule</w:t>
      </w:r>
    </w:p>
    <w:p>
      <w:pPr>
        <w:pStyle w:val="BodyText"/>
      </w:pPr>
      <w:r>
        <w:rPr>
          <w:rFonts w:ascii="Arial" w:hAnsi="Arial"/>
          <w:color w:val="111827"/>
          <w:sz w:val="19"/>
        </w:rPr>
        <w:t>Do not pay a reviewer before the customer deposit becomes available. Confirm the review quote before you request the deposit.</w:t>
      </w:r>
    </w:p>
    <w:tbl>
      <w:tblPr>
        <w:tblW w:type="auto" w:w="0"/>
        <w:jc w:val="center"/>
        <w:tblLook w:firstColumn="1" w:firstRow="1" w:lastColumn="0" w:lastRow="0" w:noHBand="0" w:noVBand="1" w:val="04A0"/>
      </w:tblPr>
      <w:tblGrid>
        <w:gridCol w:w="10166"/>
      </w:tblGrid>
      <w:tr>
        <w:trPr>
          <w:tblHeader w:val="true"/>
        </w:trPr>
        <w:tc>
          <w:tcPr>
            <w:tcW w:type="dxa" w:w="10166"/>
            <w:shd w:fill="FFF4D6"/>
            <w:tcBorders>
              <w:top w:val="single" w:sz="6" w:color="FFF4D6"/>
              <w:start w:val="single" w:sz="6" w:color="FFF4D6"/>
              <w:bottom w:val="single" w:sz="6" w:color="FFF4D6"/>
              <w:end w:val="single" w:sz="6" w:color="FFF4D6"/>
              <w:insideH w:val="single" w:sz="6" w:color="FFF4D6"/>
              <w:insideV w:val="single" w:sz="6" w:color="FFF4D6"/>
            </w:tcBorders>
            <w:tcMar>
              <w:top w:w="125" w:type="dxa"/>
              <w:start w:w="150" w:type="dxa"/>
              <w:bottom w:w="125" w:type="dxa"/>
              <w:end w:w="150" w:type="dxa"/>
            </w:tcMar>
          </w:tcPr>
          <w:p>
            <w:pPr>
              <w:spacing w:after="60"/>
            </w:pPr>
            <w:r>
              <w:rPr>
                <w:rFonts w:ascii="Arial" w:hAnsi="Arial"/>
                <w:b/>
                <w:color w:val="1F3557"/>
                <w:sz w:val="20"/>
              </w:rPr>
              <w:t>Example budget</w:t>
            </w:r>
          </w:p>
          <w:p>
            <w:pPr>
              <w:spacing w:after="0"/>
            </w:pPr>
            <w:r>
              <w:rPr>
                <w:rFonts w:ascii="Arial" w:hAnsi="Arial"/>
                <w:color w:val="111827"/>
                <w:sz w:val="18"/>
              </w:rPr>
              <w:t>$750 deposit minus a $400 review fee and a $50 processing allowance leaves $300 uncommitted. Keep the remainder for corrections and refunds. This example is not a forecast.</w:t>
            </w:r>
          </w:p>
        </w:tc>
      </w:tr>
    </w:tbl>
    <w:p>
      <w:pPr>
        <w:spacing w:after="0"/>
      </w:pPr>
    </w:p>
    <w:p>
      <w:pPr>
        <w:pStyle w:val="BodyText"/>
      </w:pPr>
      <w:r>
        <w:rPr>
          <w:rFonts w:ascii="Arial" w:hAnsi="Arial"/>
          <w:color w:val="111827"/>
          <w:sz w:val="19"/>
        </w:rPr>
        <w:t>Use $400 as a target review price and $500 as a provisional ceiling. These amounts are not confirmed market rates.</w:t>
      </w:r>
    </w:p>
    <w:p>
      <w:pPr>
        <w:pStyle w:val="Heading2"/>
        <w:keepNext/>
      </w:pPr>
      <w:r>
        <w:rPr>
          <w:rFonts w:ascii="Arial" w:hAnsi="Arial"/>
          <w:b/>
          <w:color w:val="176B70"/>
          <w:sz w:val="27"/>
        </w:rPr>
        <w:t>Service limits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1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Included</w:t>
            </w:r>
          </w:p>
        </w:tc>
        <w:tc>
          <w:tcPr>
            <w:tcW w:type="dxa" w:w="51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Excluded from V0</w:t>
            </w:r>
          </w:p>
        </w:tc>
      </w:tr>
      <w:tr>
        <w:trPr>
          <w:cantSplit/>
          <w:trHeight w:hRule="atLeast"/>
        </w:trPr>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Requirement extraction, evidence mapping, customer questions, proposal assembly, independent audit, specialist review, and export</w:t>
            </w:r>
          </w:p>
        </w:tc>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CRM, billing software, automated government submission, prospecting inside the app, analytics, legal advice, and award guarantees</w:t>
            </w:r>
          </w:p>
        </w:tc>
      </w:tr>
      <w:tr>
        <w:trPr>
          <w:cantSplit/>
          <w:trHeight w:hRule="atLeast"/>
        </w:trPr>
        <w:tc>
          <w:tcPr>
            <w:tcW w:type="dxa" w:w="51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One main proposal volume and required attachments</w:t>
            </w:r>
          </w:p>
        </w:tc>
        <w:tc>
          <w:tcPr>
            <w:tcW w:type="dxa" w:w="51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Complex cost proposals, several controlled volumes, unusual security rules, and automated portal entry</w:t>
            </w:r>
          </w:p>
        </w:tc>
      </w:tr>
      <w:tr>
        <w:trPr>
          <w:cantSplit/>
          <w:trHeight w:hRule="atLeast"/>
        </w:trPr>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Ordinary unclassified civilian RFQ files</w:t>
            </w:r>
          </w:p>
        </w:tc>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Classified data, controlled unclassified information, passwords, bank details, and unnecessary personal data</w:t>
            </w:r>
          </w:p>
        </w:tc>
      </w:tr>
    </w:tbl>
    <w:p>
      <w:pPr>
        <w:spacing w:after="0"/>
      </w:pPr>
    </w:p>
    <w:p>
      <w:r>
        <w:br w:type="page"/>
      </w:r>
    </w:p>
    <w:p>
      <w:pPr>
        <w:pStyle w:val="Heading1"/>
        <w:keepNext/>
      </w:pPr>
      <w:r>
        <w:rPr>
          <w:rFonts w:ascii="Arial" w:hAnsi="Arial"/>
          <w:b/>
          <w:color w:val="1F3557"/>
          <w:sz w:val="40"/>
        </w:rPr>
        <w:t>How to get the first customer</w:t>
      </w:r>
    </w:p>
    <w:p>
      <w:pPr>
        <w:pStyle w:val="BodyText"/>
      </w:pPr>
      <w:r>
        <w:rPr>
          <w:rFonts w:ascii="Arial" w:hAnsi="Arial"/>
          <w:color w:val="111827"/>
          <w:sz w:val="19"/>
        </w:rPr>
        <w:t>Use a specific live opportunity to earn attention. Prepare a one-page Bid Readiness Scan before the first contact.</w:t>
      </w:r>
    </w:p>
    <w:p>
      <w:pPr>
        <w:pStyle w:val="Heading2"/>
        <w:keepNext/>
      </w:pPr>
      <w:r>
        <w:rPr>
          <w:rFonts w:ascii="Arial" w:hAnsi="Arial"/>
          <w:b/>
          <w:color w:val="176B70"/>
          <w:sz w:val="27"/>
        </w:rPr>
        <w:t>The acquisition method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60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Step</w:t>
            </w:r>
          </w:p>
        </w:tc>
        <w:tc>
          <w:tcPr>
            <w:tcW w:type="dxa" w:w="655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Action</w:t>
            </w:r>
          </w:p>
        </w:tc>
        <w:tc>
          <w:tcPr>
            <w:tcW w:type="dxa" w:w="3211"/>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Result</w:t>
            </w:r>
          </w:p>
        </w:tc>
      </w:tr>
      <w:tr>
        <w:trPr>
          <w:cantSplit/>
          <w:trHeight w:hRule="atLeast"/>
        </w:trPr>
        <w:tc>
          <w:tcPr>
            <w:tcW w:type="dxa" w:w="60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1</w:t>
            </w:r>
          </w:p>
        </w:tc>
        <w:tc>
          <w:tcPr>
            <w:tcW w:type="dxa" w:w="65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Choose one active RFQ with at least ten business days before the deadline.</w:t>
            </w:r>
          </w:p>
        </w:tc>
        <w:tc>
          <w:tcPr>
            <w:tcW w:type="dxa" w:w="321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One real sales context</w:t>
            </w:r>
          </w:p>
        </w:tc>
      </w:tr>
      <w:tr>
        <w:trPr>
          <w:cantSplit/>
          <w:trHeight w:hRule="atLeast"/>
        </w:trPr>
        <w:tc>
          <w:tcPr>
            <w:tcW w:type="dxa" w:w="60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2</w:t>
            </w:r>
          </w:p>
        </w:tc>
        <w:tc>
          <w:tcPr>
            <w:tcW w:type="dxa" w:w="65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Match five contractors by location, service, set-aside, and past-performance needs.</w:t>
            </w:r>
          </w:p>
        </w:tc>
        <w:tc>
          <w:tcPr>
            <w:tcW w:type="dxa" w:w="321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Five qualified prospects</w:t>
            </w:r>
          </w:p>
        </w:tc>
      </w:tr>
      <w:tr>
        <w:trPr>
          <w:cantSplit/>
          <w:trHeight w:hRule="atLeast"/>
        </w:trPr>
        <w:tc>
          <w:tcPr>
            <w:tcW w:type="dxa" w:w="60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3</w:t>
            </w:r>
          </w:p>
        </w:tc>
        <w:tc>
          <w:tcPr>
            <w:tcW w:type="dxa" w:w="65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Create one source-based Bid Readiness Scan for each contractor.</w:t>
            </w:r>
          </w:p>
        </w:tc>
        <w:tc>
          <w:tcPr>
            <w:tcW w:type="dxa" w:w="321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useful first message</w:t>
            </w:r>
          </w:p>
        </w:tc>
      </w:tr>
      <w:tr>
        <w:trPr>
          <w:cantSplit/>
          <w:trHeight w:hRule="atLeast"/>
        </w:trPr>
        <w:tc>
          <w:tcPr>
            <w:tcW w:type="dxa" w:w="60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4</w:t>
            </w:r>
          </w:p>
        </w:tc>
        <w:tc>
          <w:tcPr>
            <w:tcW w:type="dxa" w:w="65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Send a compliant personal email and one follow-up.</w:t>
            </w:r>
          </w:p>
        </w:tc>
        <w:tc>
          <w:tcPr>
            <w:tcW w:type="dxa" w:w="321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reply, opt-out, or closed lead</w:t>
            </w:r>
          </w:p>
        </w:tc>
      </w:tr>
      <w:tr>
        <w:trPr>
          <w:cantSplit/>
          <w:trHeight w:hRule="atLeast"/>
        </w:trPr>
        <w:tc>
          <w:tcPr>
            <w:tcW w:type="dxa" w:w="60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5</w:t>
            </w:r>
          </w:p>
        </w:tc>
        <w:tc>
          <w:tcPr>
            <w:tcW w:type="dxa" w:w="65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Obtain separate call or text permission where required.</w:t>
            </w:r>
          </w:p>
        </w:tc>
        <w:tc>
          <w:tcPr>
            <w:tcW w:type="dxa" w:w="321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Recorded permission</w:t>
            </w:r>
          </w:p>
        </w:tc>
      </w:tr>
      <w:tr>
        <w:trPr>
          <w:cantSplit/>
          <w:trHeight w:hRule="atLeast"/>
        </w:trPr>
        <w:tc>
          <w:tcPr>
            <w:tcW w:type="dxa" w:w="60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6</w:t>
            </w:r>
          </w:p>
        </w:tc>
        <w:tc>
          <w:tcPr>
            <w:tcW w:type="dxa" w:w="65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Use Monid for permitted qualification and booking after connection and testing.</w:t>
            </w:r>
          </w:p>
        </w:tc>
        <w:tc>
          <w:tcPr>
            <w:tcW w:type="dxa" w:w="321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qualified meeting</w:t>
            </w:r>
          </w:p>
        </w:tc>
      </w:tr>
      <w:tr>
        <w:trPr>
          <w:cantSplit/>
          <w:trHeight w:hRule="atLeast"/>
        </w:trPr>
        <w:tc>
          <w:tcPr>
            <w:tcW w:type="dxa" w:w="60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7</w:t>
            </w:r>
          </w:p>
        </w:tc>
        <w:tc>
          <w:tcPr>
            <w:tcW w:type="dxa" w:w="65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Show the contractor's RFQ, requirement map, public evidence gaps, and questions.</w:t>
            </w:r>
          </w:p>
        </w:tc>
        <w:tc>
          <w:tcPr>
            <w:tcW w:type="dxa" w:w="321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concrete demonstration</w:t>
            </w:r>
          </w:p>
        </w:tc>
      </w:tr>
      <w:tr>
        <w:trPr>
          <w:cantSplit/>
          <w:trHeight w:hRule="atLeast"/>
        </w:trPr>
        <w:tc>
          <w:tcPr>
            <w:tcW w:type="dxa" w:w="60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8</w:t>
            </w:r>
          </w:p>
        </w:tc>
        <w:tc>
          <w:tcPr>
            <w:tcW w:type="dxa" w:w="65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Run the fit gate and send the order only when all conditions pass.</w:t>
            </w:r>
          </w:p>
        </w:tc>
        <w:tc>
          <w:tcPr>
            <w:tcW w:type="dxa" w:w="321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safe paid pilot</w:t>
            </w:r>
          </w:p>
        </w:tc>
      </w:tr>
    </w:tbl>
    <w:p>
      <w:pPr>
        <w:spacing w:after="0"/>
      </w:pPr>
    </w:p>
    <w:p>
      <w:pPr>
        <w:pStyle w:val="Heading2"/>
        <w:keepNext/>
      </w:pPr>
      <w:r>
        <w:rPr>
          <w:rFonts w:ascii="Arial" w:hAnsi="Arial"/>
          <w:b/>
          <w:color w:val="176B70"/>
          <w:sz w:val="27"/>
        </w:rPr>
        <w:t>Bid Readiness Scan</w:t>
      </w:r>
    </w:p>
    <w:p>
      <w:pPr>
        <w:pStyle w:val="BodyText"/>
      </w:pPr>
      <w:r>
        <w:rPr>
          <w:rFonts w:ascii="Arial" w:hAnsi="Arial"/>
          <w:color w:val="111827"/>
          <w:sz w:val="19"/>
        </w:rPr>
        <w:t>Include the official opportunity link, agency, location, deadline, last amendment, and three important submission obligations.</w:t>
      </w:r>
    </w:p>
    <w:p>
      <w:pPr>
        <w:pStyle w:val="BodyText"/>
      </w:pPr>
      <w:r>
        <w:rPr>
          <w:rFonts w:ascii="Arial" w:hAnsi="Arial"/>
          <w:color w:val="111827"/>
          <w:sz w:val="19"/>
        </w:rPr>
        <w:t>Add public contractor facts that may match the RFQ. Mark each fact as public, confirmed, or unknown.</w:t>
      </w:r>
    </w:p>
    <w:p>
      <w:pPr>
        <w:pStyle w:val="BodyText"/>
      </w:pPr>
      <w:r>
        <w:rPr>
          <w:rFonts w:ascii="Arial" w:hAnsi="Arial"/>
          <w:color w:val="111827"/>
          <w:sz w:val="19"/>
        </w:rPr>
        <w:t>List three missing or unconfirmed items. Invite the contractor to a 15-minute review.</w:t>
      </w:r>
    </w:p>
    <w:tbl>
      <w:tblPr>
        <w:tblW w:type="auto" w:w="0"/>
        <w:jc w:val="center"/>
        <w:tblLook w:firstColumn="1" w:firstRow="1" w:lastColumn="0" w:lastRow="0" w:noHBand="0" w:noVBand="1" w:val="04A0"/>
      </w:tblPr>
      <w:tblGrid>
        <w:gridCol w:w="10166"/>
      </w:tblGrid>
      <w:tr>
        <w:trPr>
          <w:tblHeader w:val="true"/>
        </w:trPr>
        <w:tc>
          <w:tcPr>
            <w:tcW w:type="dxa" w:w="10166"/>
            <w:shd w:fill="E8F2F2"/>
            <w:tcBorders>
              <w:top w:val="single" w:sz="6" w:color="E8F2F2"/>
              <w:start w:val="single" w:sz="6" w:color="E8F2F2"/>
              <w:bottom w:val="single" w:sz="6" w:color="E8F2F2"/>
              <w:end w:val="single" w:sz="6" w:color="E8F2F2"/>
              <w:insideH w:val="single" w:sz="6" w:color="E8F2F2"/>
              <w:insideV w:val="single" w:sz="6" w:color="E8F2F2"/>
            </w:tcBorders>
            <w:tcMar>
              <w:top w:w="125" w:type="dxa"/>
              <w:start w:w="150" w:type="dxa"/>
              <w:bottom w:w="125" w:type="dxa"/>
              <w:end w:w="150" w:type="dxa"/>
            </w:tcMar>
          </w:tcPr>
          <w:p>
            <w:pPr>
              <w:spacing w:after="60"/>
            </w:pPr>
            <w:r>
              <w:rPr>
                <w:rFonts w:ascii="Arial" w:hAnsi="Arial"/>
                <w:b/>
                <w:color w:val="1F3557"/>
                <w:sz w:val="20"/>
              </w:rPr>
              <w:t>Example opening</w:t>
            </w:r>
          </w:p>
          <w:p>
            <w:pPr>
              <w:spacing w:after="0"/>
            </w:pPr>
            <w:r>
              <w:rPr>
                <w:rFonts w:ascii="Arial" w:hAnsi="Arial"/>
                <w:color w:val="111827"/>
                <w:sz w:val="18"/>
              </w:rPr>
              <w:t>The RFQ requires three comparable references, a completed price sheet, and a five-page technical response. Your website shows federal janitorial work, but it does not show three complete reference records. I can show you the full requirement map in 15 minutes.</w:t>
            </w:r>
          </w:p>
        </w:tc>
      </w:tr>
    </w:tbl>
    <w:p>
      <w:pPr>
        <w:spacing w:after="0"/>
      </w:pPr>
    </w:p>
    <w:p>
      <w:pPr>
        <w:pStyle w:val="Heading2"/>
        <w:keepNext/>
      </w:pPr>
      <w:r>
        <w:rPr>
          <w:rFonts w:ascii="Arial" w:hAnsi="Arial"/>
          <w:b/>
          <w:color w:val="176B70"/>
          <w:sz w:val="27"/>
        </w:rPr>
        <w:t>Outreach rules</w:t>
      </w:r>
    </w:p>
    <w:p>
      <w:pPr>
        <w:pStyle w:val="ListBullet"/>
        <w:spacing w:after="50"/>
      </w:pPr>
      <w:r>
        <w:rPr>
          <w:rFonts w:ascii="Arial" w:hAnsi="Arial"/>
          <w:color w:val="111827"/>
          <w:sz w:val="18"/>
        </w:rPr>
        <w:t>Use a truthful sender name, subject, and business purpose.</w:t>
      </w:r>
    </w:p>
    <w:p>
      <w:pPr>
        <w:pStyle w:val="ListBullet"/>
        <w:spacing w:after="50"/>
      </w:pPr>
      <w:r>
        <w:rPr>
          <w:rFonts w:ascii="Arial" w:hAnsi="Arial"/>
          <w:color w:val="111827"/>
          <w:sz w:val="18"/>
        </w:rPr>
        <w:t>Include the seller's valid postal address and a working opt-out.</w:t>
      </w:r>
    </w:p>
    <w:p>
      <w:pPr>
        <w:pStyle w:val="ListBullet"/>
        <w:spacing w:after="50"/>
      </w:pPr>
      <w:r>
        <w:rPr>
          <w:rFonts w:ascii="Arial" w:hAnsi="Arial"/>
          <w:color w:val="111827"/>
          <w:sz w:val="18"/>
        </w:rPr>
        <w:t>Stop after an opt-out. Honor it within the required period.</w:t>
      </w:r>
    </w:p>
    <w:p>
      <w:pPr>
        <w:pStyle w:val="ListBullet"/>
        <w:spacing w:after="50"/>
      </w:pPr>
      <w:r>
        <w:rPr>
          <w:rFonts w:ascii="Arial" w:hAnsi="Arial"/>
          <w:color w:val="111827"/>
          <w:sz w:val="18"/>
        </w:rPr>
        <w:t>Use AI voice and automated texts only after the required permission exists.</w:t>
      </w:r>
    </w:p>
    <w:p>
      <w:pPr>
        <w:pStyle w:val="ListBullet"/>
        <w:spacing w:after="50"/>
      </w:pPr>
      <w:r>
        <w:rPr>
          <w:rFonts w:ascii="Arial" w:hAnsi="Arial"/>
          <w:color w:val="111827"/>
          <w:sz w:val="18"/>
        </w:rPr>
        <w:t>Disclose the AI assistant during an AI call.</w:t>
      </w:r>
    </w:p>
    <w:p>
      <w:pPr>
        <w:pStyle w:val="ListBullet"/>
        <w:spacing w:after="50"/>
      </w:pPr>
      <w:r>
        <w:rPr>
          <w:rFonts w:ascii="Arial" w:hAnsi="Arial"/>
          <w:color w:val="111827"/>
          <w:sz w:val="18"/>
        </w:rPr>
        <w:t>Never promise eligibility, compliance, delivery, an award, or a price change during an automated call.</w:t>
      </w:r>
    </w:p>
    <w:p>
      <w:pPr>
        <w:pStyle w:val="BodyText"/>
      </w:pPr>
      <w:r>
        <w:rPr>
          <w:rFonts w:ascii="Arial" w:hAnsi="Arial"/>
          <w:color w:val="111827"/>
          <w:sz w:val="18"/>
        </w:rPr>
        <w:t xml:space="preserve">Read the official guidance before outreach: </w:t>
      </w:r>
      <w:hyperlink r:id="rId9">
        <w:r>
          <w:rPr>
            <w:rFonts w:ascii="Arial" w:hAnsi="Arial"/>
            <w:color w:val="176B70"/>
            <w:sz w:val="19"/>
            <w:u w:val="single"/>
          </w:rPr>
          <w:t>FTC CAN-SPAM guide</w:t>
        </w:r>
      </w:hyperlink>
      <w:r>
        <w:rPr>
          <w:rFonts w:ascii="Arial" w:hAnsi="Arial"/>
          <w:color w:val="111827"/>
          <w:sz w:val="18"/>
        </w:rPr>
        <w:t xml:space="preserve"> and </w:t>
      </w:r>
      <w:hyperlink r:id="rId10">
        <w:r>
          <w:rPr>
            <w:rFonts w:ascii="Arial" w:hAnsi="Arial"/>
            <w:color w:val="176B70"/>
            <w:sz w:val="19"/>
            <w:u w:val="single"/>
          </w:rPr>
          <w:t>FCC AI voice ruling</w:t>
        </w:r>
      </w:hyperlink>
      <w:r>
        <w:rPr>
          <w:rFonts w:ascii="Arial" w:hAnsi="Arial"/>
          <w:color w:val="111827"/>
          <w:sz w:val="18"/>
        </w:rPr>
        <w:t>.</w:t>
      </w:r>
    </w:p>
    <w:p>
      <w:r>
        <w:br w:type="page"/>
      </w:r>
    </w:p>
    <w:p>
      <w:pPr>
        <w:pStyle w:val="Heading1"/>
        <w:keepNext/>
      </w:pPr>
      <w:r>
        <w:rPr>
          <w:rFonts w:ascii="Arial" w:hAnsi="Arial"/>
          <w:b/>
          <w:color w:val="1F3557"/>
          <w:sz w:val="40"/>
        </w:rPr>
        <w:t>The full workflow</w:t>
      </w:r>
    </w:p>
    <w:p>
      <w:pPr>
        <w:pStyle w:val="BodyText"/>
      </w:pPr>
      <w:r>
        <w:rPr>
          <w:rFonts w:ascii="Arial" w:hAnsi="Arial"/>
          <w:color w:val="111827"/>
          <w:sz w:val="19"/>
        </w:rPr>
        <w:t>Use this sequence for every pilot. Do not skip a human gate because a deadline is close.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547"/>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No</w:t>
            </w:r>
          </w:p>
        </w:tc>
        <w:tc>
          <w:tcPr>
            <w:tcW w:type="dxa" w:w="1123"/>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Stage</w:t>
            </w:r>
          </w:p>
        </w:tc>
        <w:tc>
          <w:tcPr>
            <w:tcW w:type="dxa" w:w="593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Required work</w:t>
            </w:r>
          </w:p>
        </w:tc>
        <w:tc>
          <w:tcPr>
            <w:tcW w:type="dxa" w:w="276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Human gate</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Find</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Select one current RFQ from SAM.gov. Confirm notice type, deadline, time zone, amendments, set-aside, site visit, and submission method.</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approves the opportunity and source completeness.</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2</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Match</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Research five contractors using public sources. Record the fit reason, source link, and check date.</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approves each match and scan.</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3</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Contact</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Send a personal email and one follow-up. Use manual calls where allowed.</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handles replies, objections, and opt-outs.</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4</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Qualify</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Collect role, location, eligibility facts, reference availability, pricing owner, and response speed.</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stops an impossible fit.</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5</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Demonstrate</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Show the live RFQ, source ledger, evidence gaps, questions, and fictional output.</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Contractor confirms interest.</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6</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Fit gate</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Confirm V0 scope, source completeness, reviewer quote, schedule, permission, and deposit coverage.</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approves the order.</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7</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Order</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Obtain written acceptance. Issue the $750 deposit invoice.</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Funds must become available.</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8</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Intake</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Open the private folder. Collect all sources, facts, references, prices, forms, approvals, and sharing permission.</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accepts complete intake.</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9</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Extract</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Upload sources. Extract atomic requirements and company evidence through OpenRouter.</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compares every source page and approves valid evidence.</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10</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Ask</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Create targeted questions for missing facts, prices, attachments, and commitments.</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Named customer answers each question.</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11</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Draft</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Map approved evidence and generate the evidence-only proposal.</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checks claims, attachments, pages, and formatting.</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12</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Audit</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Run a separate model and the deterministic rule engine against the full draft and sources.</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resolves every valid finding.</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13</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Review</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Commission the independent reviewer. Send the source package, draft, matrix, evidence index, price sheet, and forms.</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Reviewer returns a source-based finding log.</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14</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Correct</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Record findings, ask the customer for missing facts, correct the package, regenerate, and re-audit.</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Reviewer accepts the exact corrected version.</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15</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Approve</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Check for new amendments. Obtain customer approval of facts, prices, staffing, commitments, and the review PDF.</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No unresolved blocker can remain.</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16</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Collect</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Issue the $750 balance invoice and confirm available funds.</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approves release.</w:t>
            </w:r>
          </w:p>
        </w:tc>
      </w:tr>
      <w:tr>
        <w:trPr>
          <w:cantSplit/>
          <w:trHeight w:hRule="atLeast"/>
        </w:trPr>
        <w:tc>
          <w:tcPr>
            <w:tcW w:type="dxa" w:w="547"/>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17</w:t>
            </w:r>
          </w:p>
        </w:tc>
        <w:tc>
          <w:tcPr>
            <w:tcW w:type="dxa" w:w="112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Deliver</w:t>
            </w:r>
          </w:p>
        </w:tc>
        <w:tc>
          <w:tcPr>
            <w:tcW w:type="dxa" w:w="59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Export the final DOCX/PDF and required attachments. Separate internal review records.</w:t>
            </w:r>
          </w:p>
        </w:tc>
        <w:tc>
          <w:tcPr>
            <w:tcW w:type="dxa" w:w="27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Customer submits and keeps the receipt.</w:t>
            </w:r>
          </w:p>
        </w:tc>
      </w:tr>
      <w:tr>
        <w:trPr>
          <w:cantSplit/>
          <w:trHeight w:hRule="atLeast"/>
        </w:trPr>
        <w:tc>
          <w:tcPr>
            <w:tcW w:type="dxa" w:w="547"/>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18</w:t>
            </w:r>
          </w:p>
        </w:tc>
        <w:tc>
          <w:tcPr>
            <w:tcW w:type="dxa" w:w="112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Close</w:t>
            </w:r>
          </w:p>
        </w:tc>
        <w:tc>
          <w:tcPr>
            <w:tcW w:type="dxa" w:w="59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Record time, cost, findings, corrections, payment, feedback, retention, and deletion dates.</w:t>
            </w:r>
          </w:p>
        </w:tc>
        <w:tc>
          <w:tcPr>
            <w:tcW w:type="dxa" w:w="27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5"/>
              </w:rPr>
              <w:t>Operator closes the pilot.</w:t>
            </w:r>
          </w:p>
        </w:tc>
      </w:tr>
    </w:tbl>
    <w:p>
      <w:pPr>
        <w:spacing w:after="0"/>
      </w:pPr>
    </w:p>
    <w:p>
      <w:pPr>
        <w:pStyle w:val="Heading2"/>
        <w:keepNext/>
      </w:pPr>
      <w:r>
        <w:rPr>
          <w:rFonts w:ascii="Arial" w:hAnsi="Arial"/>
          <w:b/>
          <w:color w:val="176B70"/>
          <w:sz w:val="27"/>
        </w:rPr>
        <w:t>The three folders at delivery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Folder</w:t>
            </w:r>
          </w:p>
        </w:tc>
        <w:tc>
          <w:tcPr>
            <w:tcW w:type="dxa" w:w="51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Contents</w:t>
            </w:r>
          </w:p>
        </w:tc>
        <w:tc>
          <w:tcPr>
            <w:tcW w:type="dxa" w:w="345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Rule</w:t>
            </w:r>
          </w:p>
        </w:tc>
      </w:tr>
      <w:tr>
        <w:trPr>
          <w:cantSplit/>
          <w:trHeight w:hRule="atLeast"/>
        </w:trPr>
        <w:tc>
          <w:tcPr>
            <w:tcW w:type="dxa" w:w="17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Submission</w:t>
            </w:r>
          </w:p>
        </w:tc>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Final proposal, approved price sheet, required forms, acknowledgments, and requested attachments</w:t>
            </w:r>
          </w:p>
        </w:tc>
        <w:tc>
          <w:tcPr>
            <w:tcW w:type="dxa" w:w="345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customer submits only requested files.</w:t>
            </w:r>
          </w:p>
        </w:tc>
      </w:tr>
      <w:tr>
        <w:trPr>
          <w:cantSplit/>
          <w:trHeight w:hRule="atLeast"/>
        </w:trPr>
        <w:tc>
          <w:tcPr>
            <w:tcW w:type="dxa" w:w="17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Internal review</w:t>
            </w:r>
          </w:p>
        </w:tc>
        <w:tc>
          <w:tcPr>
            <w:tcW w:type="dxa" w:w="51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Compliance matrix, evidence index, finding log, source manifest, and approval record</w:t>
            </w:r>
          </w:p>
        </w:tc>
        <w:tc>
          <w:tcPr>
            <w:tcW w:type="dxa" w:w="345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Keep for the customer and operator.</w:t>
            </w:r>
          </w:p>
        </w:tc>
      </w:tr>
      <w:tr>
        <w:trPr>
          <w:cantSplit/>
          <w:trHeight w:hRule="atLeast"/>
        </w:trPr>
        <w:tc>
          <w:tcPr>
            <w:tcW w:type="dxa" w:w="17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Source originals</w:t>
            </w:r>
          </w:p>
        </w:tc>
        <w:tc>
          <w:tcPr>
            <w:tcW w:type="dxa" w:w="51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Solicitation, amendments, company records, and customer inputs</w:t>
            </w:r>
          </w:p>
        </w:tc>
        <w:tc>
          <w:tcPr>
            <w:tcW w:type="dxa" w:w="345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Keep private under the agreed retention plan.</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FF4D6"/>
            <w:tcBorders>
              <w:top w:val="single" w:sz="6" w:color="FFF4D6"/>
              <w:start w:val="single" w:sz="6" w:color="FFF4D6"/>
              <w:bottom w:val="single" w:sz="6" w:color="FFF4D6"/>
              <w:end w:val="single" w:sz="6" w:color="FFF4D6"/>
              <w:insideH w:val="single" w:sz="6" w:color="FFF4D6"/>
              <w:insideV w:val="single" w:sz="6" w:color="FFF4D6"/>
            </w:tcBorders>
            <w:tcMar>
              <w:top w:w="125" w:type="dxa"/>
              <w:start w:w="150" w:type="dxa"/>
              <w:bottom w:w="125" w:type="dxa"/>
              <w:end w:w="150" w:type="dxa"/>
            </w:tcMar>
          </w:tcPr>
          <w:p>
            <w:pPr>
              <w:spacing w:after="60"/>
            </w:pPr>
            <w:r>
              <w:rPr>
                <w:rFonts w:ascii="Arial" w:hAnsi="Arial"/>
                <w:b/>
                <w:color w:val="1F3557"/>
                <w:sz w:val="20"/>
              </w:rPr>
              <w:t>Important</w:t>
            </w:r>
          </w:p>
          <w:p>
            <w:pPr>
              <w:spacing w:after="0"/>
            </w:pPr>
            <w:r>
              <w:rPr>
                <w:rFonts w:ascii="Arial" w:hAnsi="Arial"/>
                <w:color w:val="111827"/>
                <w:sz w:val="18"/>
              </w:rPr>
              <w:t>The app export ZIP includes internal review files. It is a handoff bundle. It is not a direction to submit every file.</w:t>
            </w:r>
          </w:p>
        </w:tc>
      </w:tr>
    </w:tbl>
    <w:p>
      <w:pPr>
        <w:spacing w:after="0"/>
      </w:pPr>
    </w:p>
    <w:p>
      <w:r>
        <w:br w:type="page"/>
      </w:r>
    </w:p>
    <w:p>
      <w:pPr>
        <w:pStyle w:val="Heading1"/>
        <w:keepNext/>
      </w:pPr>
      <w:r>
        <w:rPr>
          <w:rFonts w:ascii="Arial" w:hAnsi="Arial"/>
          <w:b/>
          <w:color w:val="1F3557"/>
          <w:sz w:val="40"/>
        </w:rPr>
        <w:t>Roles and approval rights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Role</w:t>
            </w:r>
          </w:p>
        </w:tc>
        <w:tc>
          <w:tcPr>
            <w:tcW w:type="dxa" w:w="439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May do</w:t>
            </w:r>
          </w:p>
        </w:tc>
        <w:tc>
          <w:tcPr>
            <w:tcW w:type="dxa" w:w="417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Must not do</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Operator</w:t>
            </w:r>
          </w:p>
        </w:tc>
        <w:tc>
          <w:tcPr>
            <w:tcW w:type="dxa" w:w="439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Select work, verify sources, approve evidence, manage questions, correct drafts, record findings, and release approved files</w:t>
            </w:r>
          </w:p>
        </w:tc>
        <w:tc>
          <w:tcPr>
            <w:tcW w:type="dxa" w:w="417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Invent facts, prices, eligibility, or reviewer acceptance</w:t>
            </w:r>
          </w:p>
        </w:tc>
      </w:tr>
      <w:tr>
        <w:trPr>
          <w:cantSplit/>
          <w:trHeight w:hRule="atLeast"/>
        </w:trPr>
        <w:tc>
          <w:tcPr>
            <w:tcW w:type="dxa" w:w="18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Customer</w:t>
            </w:r>
          </w:p>
        </w:tc>
        <w:tc>
          <w:tcPr>
            <w:tcW w:type="dxa" w:w="439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Supply records, prices, references, signatures, facts, staffing commitments, and final approval</w:t>
            </w:r>
          </w:p>
        </w:tc>
        <w:tc>
          <w:tcPr>
            <w:tcW w:type="dxa" w:w="417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Delegate truth, pricing, or submission responsibility to the model</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OpenRouter models</w:t>
            </w:r>
          </w:p>
        </w:tc>
        <w:tc>
          <w:tcPr>
            <w:tcW w:type="dxa" w:w="439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Suggest requirements, evidence, matches, and audit findings</w:t>
            </w:r>
          </w:p>
        </w:tc>
        <w:tc>
          <w:tcPr>
            <w:tcW w:type="dxa" w:w="417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Approve evidence, waive rules, set prices, approve submission, or decide legal meaning</w:t>
            </w:r>
          </w:p>
        </w:tc>
      </w:tr>
      <w:tr>
        <w:trPr>
          <w:cantSplit/>
          <w:trHeight w:hRule="atLeast"/>
        </w:trPr>
        <w:tc>
          <w:tcPr>
            <w:tcW w:type="dxa" w:w="18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Independent reviewer</w:t>
            </w:r>
          </w:p>
        </w:tc>
        <w:tc>
          <w:tcPr>
            <w:tcW w:type="dxa" w:w="439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Check the full source package, omissions, instructions, evaluation factors, claims, attachments, and corrected version</w:t>
            </w:r>
          </w:p>
        </w:tc>
        <w:tc>
          <w:tcPr>
            <w:tcW w:type="dxa" w:w="417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Receive payment based on acceptance or award</w:t>
            </w:r>
          </w:p>
        </w:tc>
      </w:tr>
      <w:tr>
        <w:trPr>
          <w:cantSplit/>
          <w:trHeight w:hRule="atLeast"/>
        </w:trPr>
        <w:tc>
          <w:tcPr>
            <w:tcW w:type="dxa" w:w="18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Monid</w:t>
            </w:r>
          </w:p>
        </w:tc>
        <w:tc>
          <w:tcPr>
            <w:tcW w:type="dxa" w:w="439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Support permitted research, qualification, follow-up, and booking after connection</w:t>
            </w:r>
          </w:p>
        </w:tc>
        <w:tc>
          <w:tcPr>
            <w:tcW w:type="dxa" w:w="417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Start cold AI voice or text outreach without the required permission</w:t>
            </w:r>
          </w:p>
        </w:tc>
      </w:tr>
    </w:tbl>
    <w:p>
      <w:pPr>
        <w:spacing w:after="0"/>
      </w:pPr>
    </w:p>
    <w:p>
      <w:pPr>
        <w:pStyle w:val="Heading2"/>
        <w:keepNext/>
      </w:pPr>
      <w:r>
        <w:rPr>
          <w:rFonts w:ascii="Arial" w:hAnsi="Arial"/>
          <w:b/>
          <w:color w:val="176B70"/>
          <w:sz w:val="27"/>
        </w:rPr>
        <w:t>Approval chain</w:t>
      </w:r>
    </w:p>
    <w:p>
      <w:pPr>
        <w:spacing w:after="60"/>
        <w:ind w:left="374" w:hanging="374"/>
      </w:pPr>
      <w:r>
        <w:rPr>
          <w:rFonts w:ascii="Arial" w:hAnsi="Arial"/>
          <w:color w:val="111827"/>
          <w:sz w:val="18"/>
        </w:rPr>
        <w:t xml:space="preserve">1.  </w:t>
      </w:r>
      <w:r>
        <w:rPr>
          <w:rFonts w:ascii="Arial" w:hAnsi="Arial"/>
          <w:color w:val="111827"/>
          <w:sz w:val="18"/>
        </w:rPr>
        <w:t>The operator confirms that the source package is complete.</w:t>
      </w:r>
    </w:p>
    <w:p>
      <w:pPr>
        <w:spacing w:after="60"/>
        <w:ind w:left="374" w:hanging="374"/>
      </w:pPr>
      <w:r>
        <w:rPr>
          <w:rFonts w:ascii="Arial" w:hAnsi="Arial"/>
          <w:color w:val="111827"/>
          <w:sz w:val="18"/>
        </w:rPr>
        <w:t xml:space="preserve">2.  </w:t>
      </w:r>
      <w:r>
        <w:rPr>
          <w:rFonts w:ascii="Arial" w:hAnsi="Arial"/>
          <w:color w:val="111827"/>
          <w:sz w:val="18"/>
        </w:rPr>
        <w:t>The customer confirms all facts, prices, signatures, and commitments.</w:t>
      </w:r>
    </w:p>
    <w:p>
      <w:pPr>
        <w:spacing w:after="60"/>
        <w:ind w:left="374" w:hanging="374"/>
      </w:pPr>
      <w:r>
        <w:rPr>
          <w:rFonts w:ascii="Arial" w:hAnsi="Arial"/>
          <w:color w:val="111827"/>
          <w:sz w:val="18"/>
        </w:rPr>
        <w:t xml:space="preserve">3.  </w:t>
      </w:r>
      <w:r>
        <w:rPr>
          <w:rFonts w:ascii="Arial" w:hAnsi="Arial"/>
          <w:color w:val="111827"/>
          <w:sz w:val="18"/>
        </w:rPr>
        <w:t>The independent reviewer accepts the exact corrected files or lists unresolved findings.</w:t>
      </w:r>
    </w:p>
    <w:p>
      <w:pPr>
        <w:spacing w:after="60"/>
        <w:ind w:left="374" w:hanging="374"/>
      </w:pPr>
      <w:r>
        <w:rPr>
          <w:rFonts w:ascii="Arial" w:hAnsi="Arial"/>
          <w:color w:val="111827"/>
          <w:sz w:val="18"/>
        </w:rPr>
        <w:t xml:space="preserve">4.  </w:t>
      </w:r>
      <w:r>
        <w:rPr>
          <w:rFonts w:ascii="Arial" w:hAnsi="Arial"/>
          <w:color w:val="111827"/>
          <w:sz w:val="18"/>
        </w:rPr>
        <w:t>The app confirms zero deterministic blockers for the exact version.</w:t>
      </w:r>
    </w:p>
    <w:p>
      <w:pPr>
        <w:spacing w:after="60"/>
        <w:ind w:left="374" w:hanging="374"/>
      </w:pPr>
      <w:r>
        <w:rPr>
          <w:rFonts w:ascii="Arial" w:hAnsi="Arial"/>
          <w:color w:val="111827"/>
          <w:sz w:val="18"/>
        </w:rPr>
        <w:t xml:space="preserve">5.  </w:t>
      </w:r>
      <w:r>
        <w:rPr>
          <w:rFonts w:ascii="Arial" w:hAnsi="Arial"/>
          <w:color w:val="111827"/>
          <w:sz w:val="18"/>
        </w:rPr>
        <w:t>The customer accepts the review PDF.</w:t>
      </w:r>
    </w:p>
    <w:p>
      <w:pPr>
        <w:spacing w:after="60"/>
        <w:ind w:left="374" w:hanging="374"/>
      </w:pPr>
      <w:r>
        <w:rPr>
          <w:rFonts w:ascii="Arial" w:hAnsi="Arial"/>
          <w:color w:val="111827"/>
          <w:sz w:val="18"/>
        </w:rPr>
        <w:t xml:space="preserve">6.  </w:t>
      </w:r>
      <w:r>
        <w:rPr>
          <w:rFonts w:ascii="Arial" w:hAnsi="Arial"/>
          <w:color w:val="111827"/>
          <w:sz w:val="18"/>
        </w:rPr>
        <w:t>The operator confirms the balance and releases the final files.</w:t>
      </w:r>
    </w:p>
    <w:tbl>
      <w:tblPr>
        <w:tblW w:type="auto" w:w="0"/>
        <w:jc w:val="center"/>
        <w:tblLook w:firstColumn="1" w:firstRow="1" w:lastColumn="0" w:lastRow="0" w:noHBand="0" w:noVBand="1" w:val="04A0"/>
      </w:tblPr>
      <w:tblGrid>
        <w:gridCol w:w="10166"/>
      </w:tblGrid>
      <w:tr>
        <w:trPr>
          <w:tblHeader w:val="true"/>
        </w:trPr>
        <w:tc>
          <w:tcPr>
            <w:tcW w:type="dxa" w:w="10166"/>
            <w:shd w:fill="E8F2F2"/>
            <w:tcBorders>
              <w:top w:val="single" w:sz="6" w:color="E8F2F2"/>
              <w:start w:val="single" w:sz="6" w:color="E8F2F2"/>
              <w:bottom w:val="single" w:sz="6" w:color="E8F2F2"/>
              <w:end w:val="single" w:sz="6" w:color="E8F2F2"/>
              <w:insideH w:val="single" w:sz="6" w:color="E8F2F2"/>
              <w:insideV w:val="single" w:sz="6" w:color="E8F2F2"/>
            </w:tcBorders>
            <w:tcMar>
              <w:top w:w="125" w:type="dxa"/>
              <w:start w:w="150" w:type="dxa"/>
              <w:bottom w:w="125" w:type="dxa"/>
              <w:end w:w="150" w:type="dxa"/>
            </w:tcMar>
          </w:tcPr>
          <w:p>
            <w:pPr>
              <w:spacing w:after="60"/>
            </w:pPr>
            <w:r>
              <w:rPr>
                <w:rFonts w:ascii="Arial" w:hAnsi="Arial"/>
                <w:b/>
                <w:color w:val="1F3557"/>
                <w:sz w:val="20"/>
              </w:rPr>
              <w:t>Submission responsibility</w:t>
            </w:r>
          </w:p>
          <w:p>
            <w:pPr>
              <w:spacing w:after="0"/>
            </w:pPr>
            <w:r>
              <w:rPr>
                <w:rFonts w:ascii="Arial" w:hAnsi="Arial"/>
                <w:color w:val="111827"/>
                <w:sz w:val="18"/>
              </w:rPr>
              <w:t>The customer submits the package through the government channel and keeps the receipt.</w:t>
            </w:r>
          </w:p>
        </w:tc>
      </w:tr>
    </w:tbl>
    <w:p>
      <w:pPr>
        <w:spacing w:after="0"/>
      </w:pPr>
    </w:p>
    <w:p>
      <w:pPr>
        <w:pStyle w:val="Heading2"/>
        <w:keepNext/>
      </w:pPr>
      <w:r>
        <w:rPr>
          <w:rFonts w:ascii="Arial" w:hAnsi="Arial"/>
          <w:b/>
          <w:color w:val="176B70"/>
          <w:sz w:val="27"/>
        </w:rPr>
        <w:t>Stop conditions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75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Stop when</w:t>
            </w:r>
          </w:p>
        </w:tc>
        <w:tc>
          <w:tcPr>
            <w:tcW w:type="dxa" w:w="561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Required response</w:t>
            </w:r>
          </w:p>
        </w:tc>
      </w:tr>
      <w:tr>
        <w:trPr>
          <w:cantSplit/>
          <w:trHeight w:hRule="atLeast"/>
        </w:trPr>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mandatory requirement remains unresolved</w:t>
            </w:r>
          </w:p>
        </w:tc>
        <w:tc>
          <w:tcPr>
            <w:tcW w:type="dxa" w:w="56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Ask for evidence, change scope, or stop the bid.</w:t>
            </w:r>
          </w:p>
        </w:tc>
      </w:tr>
      <w:tr>
        <w:trPr>
          <w:cantSplit/>
          <w:trHeight w:hRule="atLeast"/>
        </w:trPr>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price lacks named customer approval</w:t>
            </w:r>
          </w:p>
        </w:tc>
        <w:tc>
          <w:tcPr>
            <w:tcW w:type="dxa" w:w="56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Keep final export blocked.</w:t>
            </w:r>
          </w:p>
        </w:tc>
      </w:tr>
      <w:tr>
        <w:trPr>
          <w:cantSplit/>
          <w:trHeight w:hRule="atLeast"/>
        </w:trPr>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An amendment is missing or unprocessed</w:t>
            </w:r>
          </w:p>
        </w:tc>
        <w:tc>
          <w:tcPr>
            <w:tcW w:type="dxa" w:w="56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Update the source freeze and repeat affected review steps.</w:t>
            </w:r>
          </w:p>
        </w:tc>
      </w:tr>
      <w:tr>
        <w:trPr>
          <w:cantSplit/>
          <w:trHeight w:hRule="atLeast"/>
        </w:trPr>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site visit, question deadline, or submission deadline passed</w:t>
            </w:r>
          </w:p>
        </w:tc>
        <w:tc>
          <w:tcPr>
            <w:tcW w:type="dxa" w:w="56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Stop and reassess eligibility or close the work.</w:t>
            </w:r>
          </w:p>
        </w:tc>
      </w:tr>
      <w:tr>
        <w:trPr>
          <w:cantSplit/>
          <w:trHeight w:hRule="atLeast"/>
        </w:trPr>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reviewer cannot accept the final version</w:t>
            </w:r>
          </w:p>
        </w:tc>
        <w:tc>
          <w:tcPr>
            <w:tcW w:type="dxa" w:w="56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Correct findings or stop delivery.</w:t>
            </w:r>
          </w:p>
        </w:tc>
      </w:tr>
      <w:tr>
        <w:trPr>
          <w:cantSplit/>
          <w:trHeight w:hRule="atLeast"/>
        </w:trPr>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deposit does not cover committed cash costs</w:t>
            </w:r>
          </w:p>
        </w:tc>
        <w:tc>
          <w:tcPr>
            <w:tcW w:type="dxa" w:w="56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Change the deposit, scope, or decision before agreement.</w:t>
            </w:r>
          </w:p>
        </w:tc>
      </w:tr>
      <w:tr>
        <w:trPr>
          <w:cantSplit/>
          <w:trHeight w:hRule="atLeast"/>
        </w:trPr>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package needs excluded security or proposal features</w:t>
            </w:r>
          </w:p>
        </w:tc>
        <w:tc>
          <w:tcPr>
            <w:tcW w:type="dxa" w:w="56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Decline the work or use a different reviewed process.</w:t>
            </w:r>
          </w:p>
        </w:tc>
      </w:tr>
    </w:tbl>
    <w:p>
      <w:pPr>
        <w:spacing w:after="0"/>
      </w:pPr>
    </w:p>
    <w:p>
      <w:r>
        <w:br w:type="page"/>
      </w:r>
    </w:p>
    <w:p>
      <w:pPr>
        <w:pStyle w:val="Heading1"/>
        <w:keepNext/>
      </w:pPr>
      <w:r>
        <w:rPr>
          <w:rFonts w:ascii="Arial" w:hAnsi="Arial"/>
          <w:b/>
          <w:color w:val="1F3557"/>
          <w:sz w:val="40"/>
        </w:rPr>
        <w:t>The product</w:t>
      </w:r>
    </w:p>
    <w:p>
      <w:pPr>
        <w:pStyle w:val="Heading2"/>
        <w:keepNext/>
      </w:pPr>
      <w:r>
        <w:rPr>
          <w:rFonts w:ascii="Arial" w:hAnsi="Arial"/>
          <w:b/>
          <w:color w:val="176B70"/>
          <w:sz w:val="27"/>
        </w:rPr>
        <w:t>Purpose and location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Item</w:t>
            </w:r>
          </w:p>
        </w:tc>
        <w:tc>
          <w:tcPr>
            <w:tcW w:type="dxa" w:w="813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Value</w:t>
            </w:r>
          </w:p>
        </w:tc>
      </w:tr>
      <w:tr>
        <w:trPr>
          <w:cantSplit/>
          <w:trHeight w:hRule="atLeast"/>
        </w:trPr>
        <w:tc>
          <w:tcPr>
            <w:tcW w:type="dxa" w:w="22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Project folder</w:t>
            </w:r>
          </w:p>
        </w:tc>
        <w:tc>
          <w:tcPr>
            <w:tcW w:type="dxa" w:w="813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private GitHub repository root</w:t>
            </w:r>
          </w:p>
        </w:tc>
      </w:tr>
      <w:tr>
        <w:trPr>
          <w:cantSplit/>
          <w:trHeight w:hRule="atLeast"/>
        </w:trPr>
        <w:tc>
          <w:tcPr>
            <w:tcW w:type="dxa" w:w="22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Start command</w:t>
            </w:r>
          </w:p>
        </w:tc>
        <w:tc>
          <w:tcPr>
            <w:tcW w:type="dxa" w:w="813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./run.sh</w:t>
            </w:r>
          </w:p>
        </w:tc>
      </w:tr>
      <w:tr>
        <w:trPr>
          <w:cantSplit/>
          <w:trHeight w:hRule="atLeast"/>
        </w:trPr>
        <w:tc>
          <w:tcPr>
            <w:tcW w:type="dxa" w:w="22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Local address</w:t>
            </w:r>
          </w:p>
        </w:tc>
        <w:tc>
          <w:tcPr>
            <w:tcW w:type="dxa" w:w="813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http://127.0.0.1:8765</w:t>
            </w:r>
          </w:p>
        </w:tc>
      </w:tr>
      <w:tr>
        <w:trPr>
          <w:cantSplit/>
          <w:trHeight w:hRule="atLeast"/>
        </w:trPr>
        <w:tc>
          <w:tcPr>
            <w:tcW w:type="dxa" w:w="22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Database</w:t>
            </w:r>
          </w:p>
        </w:tc>
        <w:tc>
          <w:tcPr>
            <w:tcW w:type="dxa" w:w="813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data/bid-factory.sqlite3</w:t>
            </w:r>
          </w:p>
        </w:tc>
      </w:tr>
      <w:tr>
        <w:trPr>
          <w:cantSplit/>
          <w:trHeight w:hRule="atLeast"/>
        </w:trPr>
        <w:tc>
          <w:tcPr>
            <w:tcW w:type="dxa" w:w="22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Branch</w:t>
            </w:r>
          </w:p>
        </w:tc>
        <w:tc>
          <w:tcPr>
            <w:tcW w:type="dxa" w:w="813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codex/bid-factory-v0</w:t>
            </w:r>
          </w:p>
        </w:tc>
      </w:tr>
      <w:tr>
        <w:trPr>
          <w:cantSplit/>
          <w:trHeight w:hRule="atLeast"/>
        </w:trPr>
        <w:tc>
          <w:tcPr>
            <w:tcW w:type="dxa" w:w="22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Main commits</w:t>
            </w:r>
          </w:p>
        </w:tc>
        <w:tc>
          <w:tcPr>
            <w:tcW w:type="dxa" w:w="813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5e91154 initial V0; e64cbfd OpenRouter and live AI hardening</w:t>
            </w:r>
          </w:p>
        </w:tc>
      </w:tr>
      <w:tr>
        <w:trPr>
          <w:cantSplit/>
          <w:trHeight w:hRule="atLeast"/>
        </w:trPr>
        <w:tc>
          <w:tcPr>
            <w:tcW w:type="dxa" w:w="22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Stack</w:t>
            </w:r>
          </w:p>
        </w:tc>
        <w:tc>
          <w:tcPr>
            <w:tcW w:type="dxa" w:w="813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Python FastAPI, SQLite, plain JavaScript, python-docx, LibreOffice, and openpyxl</w:t>
            </w:r>
          </w:p>
        </w:tc>
      </w:tr>
    </w:tbl>
    <w:p>
      <w:pPr>
        <w:spacing w:after="0"/>
      </w:pPr>
    </w:p>
    <w:p>
      <w:pPr>
        <w:pStyle w:val="Heading2"/>
        <w:keepNext/>
      </w:pPr>
      <w:r>
        <w:rPr>
          <w:rFonts w:ascii="Arial" w:hAnsi="Arial"/>
          <w:b/>
          <w:color w:val="176B70"/>
          <w:sz w:val="27"/>
        </w:rPr>
        <w:t>Run the app</w:t>
      </w:r>
    </w:p>
    <w:p>
      <w:pPr>
        <w:spacing w:after="60"/>
        <w:ind w:left="374" w:hanging="374"/>
      </w:pPr>
      <w:r>
        <w:rPr>
          <w:rFonts w:ascii="Arial" w:hAnsi="Arial"/>
          <w:color w:val="111827"/>
          <w:sz w:val="18"/>
        </w:rPr>
        <w:t xml:space="preserve">1.  </w:t>
      </w:r>
      <w:r>
        <w:rPr>
          <w:rFonts w:ascii="Arial" w:hAnsi="Arial"/>
          <w:color w:val="111827"/>
          <w:sz w:val="18"/>
        </w:rPr>
        <w:t>Open the project folder.</w:t>
      </w:r>
    </w:p>
    <w:p>
      <w:pPr>
        <w:spacing w:after="60"/>
        <w:ind w:left="374" w:hanging="374"/>
      </w:pPr>
      <w:r>
        <w:rPr>
          <w:rFonts w:ascii="Arial" w:hAnsi="Arial"/>
          <w:color w:val="111827"/>
          <w:sz w:val="18"/>
        </w:rPr>
        <w:t xml:space="preserve">2.  </w:t>
      </w:r>
      <w:r>
        <w:rPr>
          <w:rFonts w:ascii="Arial" w:hAnsi="Arial"/>
          <w:color w:val="111827"/>
          <w:sz w:val="18"/>
        </w:rPr>
        <w:t>Run ./run.sh in a terminal.</w:t>
      </w:r>
    </w:p>
    <w:p>
      <w:pPr>
        <w:spacing w:after="60"/>
        <w:ind w:left="374" w:hanging="374"/>
      </w:pPr>
      <w:r>
        <w:rPr>
          <w:rFonts w:ascii="Arial" w:hAnsi="Arial"/>
          <w:color w:val="111827"/>
          <w:sz w:val="18"/>
        </w:rPr>
        <w:t xml:space="preserve">3.  </w:t>
      </w:r>
      <w:r>
        <w:rPr>
          <w:rFonts w:ascii="Arial" w:hAnsi="Arial"/>
          <w:color w:val="111827"/>
          <w:sz w:val="18"/>
        </w:rPr>
        <w:t>Open http://127.0.0.1:8765 in a browser.</w:t>
      </w:r>
    </w:p>
    <w:p>
      <w:pPr>
        <w:spacing w:after="60"/>
        <w:ind w:left="374" w:hanging="374"/>
      </w:pPr>
      <w:r>
        <w:rPr>
          <w:rFonts w:ascii="Arial" w:hAnsi="Arial"/>
          <w:color w:val="111827"/>
          <w:sz w:val="18"/>
        </w:rPr>
        <w:t xml:space="preserve">4.  </w:t>
      </w:r>
      <w:r>
        <w:rPr>
          <w:rFonts w:ascii="Arial" w:hAnsi="Arial"/>
          <w:color w:val="111827"/>
          <w:sz w:val="18"/>
        </w:rPr>
        <w:t>Keep the server on the local computer. Do not send the localhost link to a customer.</w:t>
      </w:r>
    </w:p>
    <w:p>
      <w:pPr>
        <w:spacing w:after="60"/>
        <w:ind w:left="374" w:hanging="374"/>
      </w:pPr>
      <w:r>
        <w:rPr>
          <w:rFonts w:ascii="Arial" w:hAnsi="Arial"/>
          <w:color w:val="111827"/>
          <w:sz w:val="18"/>
        </w:rPr>
        <w:t xml:space="preserve">5.  </w:t>
      </w:r>
      <w:r>
        <w:rPr>
          <w:rFonts w:ascii="Arial" w:hAnsi="Arial"/>
          <w:color w:val="111827"/>
          <w:sz w:val="18"/>
        </w:rPr>
        <w:t>Stop the server with Control C when work is complete.</w:t>
      </w:r>
    </w:p>
    <w:p>
      <w:pPr>
        <w:pStyle w:val="Heading2"/>
        <w:keepNext/>
      </w:pPr>
      <w:r>
        <w:rPr>
          <w:rFonts w:ascii="Arial" w:hAnsi="Arial"/>
          <w:b/>
          <w:color w:val="176B70"/>
          <w:sz w:val="27"/>
        </w:rPr>
        <w:t>Product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Rule</w:t>
            </w:r>
          </w:p>
        </w:tc>
        <w:tc>
          <w:tcPr>
            <w:tcW w:type="dxa" w:w="727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What it means</w:t>
            </w:r>
          </w:p>
        </w:tc>
      </w:tr>
      <w:tr>
        <w:trPr>
          <w:cantSplit/>
          <w:trHeight w:hRule="atLeast"/>
        </w:trPr>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Every factual claim needs evidence</w:t>
            </w:r>
          </w:p>
        </w:tc>
        <w:tc>
          <w:tcPr>
            <w:tcW w:type="dxa" w:w="727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Each claim links to an approved source statement, customer answer, or approved attachment.</w:t>
            </w:r>
          </w:p>
        </w:tc>
      </w:tr>
      <w:tr>
        <w:trPr>
          <w:cantSplit/>
          <w:trHeight w:hRule="atLeast"/>
        </w:trPr>
        <w:tc>
          <w:tcPr>
            <w:tcW w:type="dxa" w:w="309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Missing facts create questions</w:t>
            </w:r>
          </w:p>
        </w:tc>
        <w:tc>
          <w:tcPr>
            <w:tcW w:type="dxa" w:w="727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app does not fill a missing fact with model text.</w:t>
            </w:r>
          </w:p>
        </w:tc>
      </w:tr>
      <w:tr>
        <w:trPr>
          <w:cantSplit/>
          <w:trHeight w:hRule="atLeast"/>
        </w:trPr>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customer supplies prices</w:t>
            </w:r>
          </w:p>
        </w:tc>
        <w:tc>
          <w:tcPr>
            <w:tcW w:type="dxa" w:w="727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 named answer with a dollar amount must link to the actual price attachment.</w:t>
            </w:r>
          </w:p>
        </w:tc>
      </w:tr>
      <w:tr>
        <w:trPr>
          <w:cantSplit/>
          <w:trHeight w:hRule="atLeast"/>
        </w:trPr>
        <w:tc>
          <w:tcPr>
            <w:tcW w:type="dxa" w:w="309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Requirements stay in the ledger</w:t>
            </w:r>
          </w:p>
        </w:tc>
        <w:tc>
          <w:tcPr>
            <w:tcW w:type="dxa" w:w="727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Corrections add linked replacement records. Mandatory obligations do not disappear.</w:t>
            </w:r>
          </w:p>
        </w:tc>
      </w:tr>
      <w:tr>
        <w:trPr>
          <w:cantSplit/>
          <w:trHeight w:hRule="atLeast"/>
        </w:trPr>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Amendments keep lineage</w:t>
            </w:r>
          </w:p>
        </w:tc>
        <w:tc>
          <w:tcPr>
            <w:tcW w:type="dxa" w:w="727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New files append to the source history and can invalidate earlier approval.</w:t>
            </w:r>
          </w:p>
        </w:tc>
      </w:tr>
      <w:tr>
        <w:trPr>
          <w:cantSplit/>
          <w:trHeight w:hRule="atLeast"/>
        </w:trPr>
        <w:tc>
          <w:tcPr>
            <w:tcW w:type="dxa" w:w="309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Approval binds to one version</w:t>
            </w:r>
          </w:p>
        </w:tc>
        <w:tc>
          <w:tcPr>
            <w:tcW w:type="dxa" w:w="727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Any source, evidence, answer, map, setting, or draft change cancels the earlier approval.</w:t>
            </w:r>
          </w:p>
        </w:tc>
      </w:tr>
      <w:tr>
        <w:trPr>
          <w:cantSplit/>
          <w:trHeight w:hRule="atLeast"/>
        </w:trPr>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SUBMISSION_READY needs zero blockers</w:t>
            </w:r>
          </w:p>
        </w:tc>
        <w:tc>
          <w:tcPr>
            <w:tcW w:type="dxa" w:w="727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The state is derived from current facts and exact-version approval. A model or request cannot set it.</w:t>
            </w:r>
          </w:p>
        </w:tc>
      </w:tr>
    </w:tbl>
    <w:p>
      <w:pPr>
        <w:spacing w:after="0"/>
      </w:pPr>
    </w:p>
    <w:p>
      <w:pPr>
        <w:pStyle w:val="Heading2"/>
        <w:keepNext/>
      </w:pPr>
      <w:r>
        <w:rPr>
          <w:rFonts w:ascii="Arial" w:hAnsi="Arial"/>
          <w:b/>
          <w:color w:val="176B70"/>
          <w:sz w:val="27"/>
        </w:rPr>
        <w:t>Supported export</w:t>
      </w:r>
    </w:p>
    <w:p>
      <w:pPr>
        <w:pStyle w:val="BodyText"/>
      </w:pPr>
      <w:r>
        <w:rPr>
          <w:rFonts w:ascii="Arial" w:hAnsi="Arial"/>
          <w:color w:val="111827"/>
          <w:sz w:val="19"/>
        </w:rPr>
        <w:t>The final ZIP can contain Proposal.docx, Proposal.pdf, a submission file list, original response attachments, a compliance matrix, a submission checklist, and provenance data.</w:t>
      </w:r>
    </w:p>
    <w:p>
      <w:pPr>
        <w:pStyle w:val="BodyText"/>
      </w:pPr>
      <w:r>
        <w:rPr>
          <w:rFonts w:ascii="Arial" w:hAnsi="Arial"/>
          <w:color w:val="111827"/>
          <w:sz w:val="19"/>
        </w:rPr>
        <w:t>Inspect the rendered DOCX and PDF before delivery. A manual edit outside the app cancels the reviewed status.</w:t>
      </w:r>
    </w:p>
    <w:p>
      <w:r>
        <w:br w:type="page"/>
      </w:r>
    </w:p>
    <w:p>
      <w:pPr>
        <w:pStyle w:val="Heading2"/>
        <w:keepNext/>
      </w:pPr>
      <w:r>
        <w:rPr>
          <w:rFonts w:ascii="Arial" w:hAnsi="Arial"/>
          <w:b/>
          <w:color w:val="176B70"/>
          <w:sz w:val="27"/>
        </w:rPr>
        <w:t>Product limits</w:t>
      </w:r>
    </w:p>
    <w:p>
      <w:pPr>
        <w:pStyle w:val="ListBullet"/>
        <w:spacing w:after="50"/>
      </w:pPr>
      <w:r>
        <w:rPr>
          <w:rFonts w:ascii="Arial" w:hAnsi="Arial"/>
          <w:color w:val="111827"/>
          <w:sz w:val="18"/>
        </w:rPr>
        <w:t>Use one trusted operator for each deployment.</w:t>
      </w:r>
    </w:p>
    <w:p>
      <w:pPr>
        <w:pStyle w:val="ListBullet"/>
        <w:spacing w:after="50"/>
      </w:pPr>
      <w:r>
        <w:rPr>
          <w:rFonts w:ascii="Arial" w:hAnsi="Arial"/>
          <w:color w:val="111827"/>
          <w:sz w:val="18"/>
        </w:rPr>
        <w:t>Use ordinary unclassified civilian service RFQs.</w:t>
      </w:r>
    </w:p>
    <w:p>
      <w:pPr>
        <w:pStyle w:val="ListBullet"/>
        <w:spacing w:after="50"/>
      </w:pPr>
      <w:r>
        <w:rPr>
          <w:rFonts w:ascii="Arial" w:hAnsi="Arial"/>
          <w:color w:val="111827"/>
          <w:sz w:val="18"/>
        </w:rPr>
        <w:t>Review scanned files, headers, footers, drawings, text boxes, signatures, pricing arithmetic, and full forms manually.</w:t>
      </w:r>
    </w:p>
    <w:p>
      <w:pPr>
        <w:pStyle w:val="ListBullet"/>
        <w:spacing w:after="50"/>
      </w:pPr>
      <w:r>
        <w:rPr>
          <w:rFonts w:ascii="Arial" w:hAnsi="Arial"/>
          <w:color w:val="111827"/>
          <w:sz w:val="18"/>
        </w:rPr>
        <w:t>Use uploaded files as the source of truth. SAM.gov URL import is not complete.</w:t>
      </w:r>
    </w:p>
    <w:p>
      <w:pPr>
        <w:pStyle w:val="ListBullet"/>
        <w:spacing w:after="50"/>
      </w:pPr>
      <w:r>
        <w:rPr>
          <w:rFonts w:ascii="Arial" w:hAnsi="Arial"/>
          <w:color w:val="111827"/>
          <w:sz w:val="18"/>
        </w:rPr>
        <w:t>Use one server worker. Large jobs do not have a durable queue.</w:t>
      </w:r>
    </w:p>
    <w:p>
      <w:pPr>
        <w:pStyle w:val="ListBullet"/>
        <w:spacing w:after="50"/>
      </w:pPr>
      <w:r>
        <w:rPr>
          <w:rFonts w:ascii="Arial" w:hAnsi="Arial"/>
          <w:color w:val="111827"/>
          <w:sz w:val="18"/>
        </w:rPr>
        <w:t>Use private hosting with authentication, TLS, encrypted storage, backups, and access limits before remote use.</w:t>
      </w:r>
    </w:p>
    <w:p>
      <w:pPr>
        <w:pStyle w:val="Heading2"/>
        <w:keepNext/>
      </w:pPr>
      <w:r>
        <w:rPr>
          <w:rFonts w:ascii="Arial" w:hAnsi="Arial"/>
          <w:b/>
          <w:color w:val="176B70"/>
          <w:sz w:val="27"/>
        </w:rPr>
        <w:t>Private production gate</w:t>
      </w:r>
    </w:p>
    <w:p>
      <w:pPr>
        <w:spacing w:after="60"/>
        <w:ind w:left="389" w:hanging="389"/>
      </w:pPr>
      <w:r>
        <w:rPr>
          <w:rFonts w:ascii="Arial" w:hAnsi="Arial"/>
          <w:color w:val="111827"/>
          <w:sz w:val="18"/>
        </w:rPr>
        <w:t>☐ Production mode requires a unique password with at least 16 characters.</w:t>
      </w:r>
    </w:p>
    <w:p>
      <w:pPr>
        <w:spacing w:after="60"/>
        <w:ind w:left="389" w:hanging="389"/>
      </w:pPr>
      <w:r>
        <w:rPr>
          <w:rFonts w:ascii="Arial" w:hAnsi="Arial"/>
          <w:color w:val="111827"/>
          <w:sz w:val="18"/>
        </w:rPr>
        <w:t>☐ A TLS reverse proxy restricts hosts, origins, request size, and access.</w:t>
      </w:r>
    </w:p>
    <w:p>
      <w:pPr>
        <w:spacing w:after="60"/>
        <w:ind w:left="389" w:hanging="389"/>
      </w:pPr>
      <w:r>
        <w:rPr>
          <w:rFonts w:ascii="Arial" w:hAnsi="Arial"/>
          <w:color w:val="111827"/>
          <w:sz w:val="18"/>
        </w:rPr>
        <w:t>☐ Encrypted storage and encrypted backups protect customer documents.</w:t>
      </w:r>
    </w:p>
    <w:p>
      <w:pPr>
        <w:spacing w:after="60"/>
        <w:ind w:left="389" w:hanging="389"/>
      </w:pPr>
      <w:r>
        <w:rPr>
          <w:rFonts w:ascii="Arial" w:hAnsi="Arial"/>
          <w:color w:val="111827"/>
          <w:sz w:val="18"/>
        </w:rPr>
        <w:t>☐ A tested SQLite backup and restore process protects the full review record.</w:t>
      </w:r>
    </w:p>
    <w:p>
      <w:pPr>
        <w:spacing w:after="60"/>
        <w:ind w:left="389" w:hanging="389"/>
      </w:pPr>
      <w:r>
        <w:rPr>
          <w:rFonts w:ascii="Arial" w:hAnsi="Arial"/>
          <w:color w:val="111827"/>
          <w:sz w:val="18"/>
        </w:rPr>
        <w:t>☐ Named accounts limit access to the operator and approved support staff.</w:t>
      </w:r>
    </w:p>
    <w:p>
      <w:pPr>
        <w:spacing w:after="60"/>
        <w:ind w:left="389" w:hanging="389"/>
      </w:pPr>
      <w:r>
        <w:rPr>
          <w:rFonts w:ascii="Arial" w:hAnsi="Arial"/>
          <w:color w:val="111827"/>
          <w:sz w:val="18"/>
        </w:rPr>
        <w:t>☐ A written retention and deletion process exists before customer intake.</w:t>
      </w:r>
    </w:p>
    <w:p>
      <w:pPr>
        <w:pStyle w:val="Heading1"/>
        <w:keepNext/>
      </w:pPr>
      <w:r>
        <w:rPr>
          <w:rFonts w:ascii="Arial" w:hAnsi="Arial"/>
          <w:b/>
          <w:color w:val="1F3557"/>
          <w:sz w:val="40"/>
        </w:rPr>
        <w:t>The AI setup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Function</w:t>
            </w:r>
          </w:p>
        </w:tc>
        <w:tc>
          <w:tcPr>
            <w:tcW w:type="dxa" w:w="6983"/>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Configuration</w:t>
            </w:r>
          </w:p>
        </w:tc>
      </w:tr>
      <w:tr>
        <w:trPr>
          <w:cantSplit/>
          <w:trHeight w:hRule="atLeast"/>
        </w:trPr>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Provider</w:t>
            </w:r>
          </w:p>
        </w:tc>
        <w:tc>
          <w:tcPr>
            <w:tcW w:type="dxa" w:w="698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OpenRouter</w:t>
            </w:r>
          </w:p>
        </w:tc>
      </w:tr>
      <w:tr>
        <w:trPr>
          <w:cantSplit/>
          <w:trHeight w:hRule="atLeast"/>
        </w:trPr>
        <w:tc>
          <w:tcPr>
            <w:tcW w:type="dxa" w:w="33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Extraction and mapping model</w:t>
            </w:r>
          </w:p>
        </w:tc>
        <w:tc>
          <w:tcPr>
            <w:tcW w:type="dxa" w:w="698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openai/gpt-4.1</w:t>
            </w:r>
          </w:p>
        </w:tc>
      </w:tr>
      <w:tr>
        <w:trPr>
          <w:cantSplit/>
          <w:trHeight w:hRule="atLeast"/>
        </w:trPr>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Independent audit model</w:t>
            </w:r>
          </w:p>
        </w:tc>
        <w:tc>
          <w:tcPr>
            <w:tcW w:type="dxa" w:w="698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anthropic/claude-sonnet-4.6</w:t>
            </w:r>
          </w:p>
        </w:tc>
      </w:tr>
      <w:tr>
        <w:trPr>
          <w:cantSplit/>
          <w:trHeight w:hRule="atLeast"/>
        </w:trPr>
        <w:tc>
          <w:tcPr>
            <w:tcW w:type="dxa" w:w="33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Credential location</w:t>
            </w:r>
          </w:p>
        </w:tc>
        <w:tc>
          <w:tcPr>
            <w:tcW w:type="dxa" w:w="6983"/>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macOS Keychain service bid-factory.openrouter and account bid-factory</w:t>
            </w:r>
          </w:p>
        </w:tc>
      </w:tr>
      <w:tr>
        <w:trPr>
          <w:cantSplit/>
          <w:trHeight w:hRule="atLeast"/>
        </w:trPr>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Data controls</w:t>
            </w:r>
          </w:p>
        </w:tc>
        <w:tc>
          <w:tcPr>
            <w:tcW w:type="dxa" w:w="6983"/>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Provider data collection denied and zero data retention required by the request</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BE9E7"/>
            <w:tcBorders>
              <w:top w:val="single" w:sz="6" w:color="FBE9E7"/>
              <w:start w:val="single" w:sz="6" w:color="FBE9E7"/>
              <w:bottom w:val="single" w:sz="6" w:color="FBE9E7"/>
              <w:end w:val="single" w:sz="6" w:color="FBE9E7"/>
              <w:insideH w:val="single" w:sz="6" w:color="FBE9E7"/>
              <w:insideV w:val="single" w:sz="6" w:color="FBE9E7"/>
            </w:tcBorders>
            <w:tcMar>
              <w:top w:w="125" w:type="dxa"/>
              <w:start w:w="150" w:type="dxa"/>
              <w:bottom w:w="125" w:type="dxa"/>
              <w:end w:w="150" w:type="dxa"/>
            </w:tcMar>
          </w:tcPr>
          <w:p>
            <w:pPr>
              <w:spacing w:after="60"/>
            </w:pPr>
            <w:r>
              <w:rPr>
                <w:rFonts w:ascii="Arial" w:hAnsi="Arial"/>
                <w:b/>
                <w:color w:val="1F3557"/>
                <w:sz w:val="20"/>
              </w:rPr>
              <w:t>Security action before customer use</w:t>
            </w:r>
          </w:p>
          <w:p>
            <w:pPr>
              <w:spacing w:after="0"/>
            </w:pPr>
            <w:r>
              <w:rPr>
                <w:rFonts w:ascii="Arial" w:hAnsi="Arial"/>
                <w:color w:val="111827"/>
                <w:sz w:val="18"/>
              </w:rPr>
              <w:t>Rotate the current OpenRouter key because it appeared in an earlier chat. Store the new key in the Keychain. Do not put it in this primer, the repository, email, or chat.</w:t>
            </w:r>
          </w:p>
        </w:tc>
      </w:tr>
    </w:tbl>
    <w:p>
      <w:pPr>
        <w:spacing w:after="0"/>
      </w:pPr>
    </w:p>
    <w:p>
      <w:pPr>
        <w:pStyle w:val="Heading2"/>
        <w:keepNext/>
      </w:pPr>
      <w:r>
        <w:rPr>
          <w:rFonts w:ascii="Arial" w:hAnsi="Arial"/>
          <w:b/>
          <w:color w:val="176B70"/>
          <w:sz w:val="27"/>
        </w:rPr>
        <w:t>Observed AI test results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Test</w:t>
            </w:r>
          </w:p>
        </w:tc>
        <w:tc>
          <w:tcPr>
            <w:tcW w:type="dxa" w:w="468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Observed result</w:t>
            </w:r>
          </w:p>
        </w:tc>
        <w:tc>
          <w:tcPr>
            <w:tcW w:type="dxa" w:w="360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Meaning</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Requirement extraction</w:t>
            </w:r>
          </w:p>
        </w:tc>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live model produced eight atomic requirements from the synthetic RFQ.</w:t>
            </w:r>
          </w:p>
        </w:tc>
        <w:tc>
          <w:tcPr>
            <w:tcW w:type="dxa" w:w="36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connection works, but the operator must compare every source page.</w:t>
            </w:r>
          </w:p>
        </w:tc>
      </w:tr>
      <w:tr>
        <w:trPr>
          <w:cantSplit/>
          <w:trHeight w:hRule="atLeast"/>
        </w:trPr>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Evidence extraction</w:t>
            </w:r>
          </w:p>
        </w:tc>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first pass omitted the UEI and truncated references. Prompt and deterministic checks were changed.</w:t>
            </w:r>
          </w:p>
        </w:tc>
        <w:tc>
          <w:tcPr>
            <w:tcW w:type="dxa" w:w="36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plausible model result can be incomplete.</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Price sheet flag</w:t>
            </w:r>
          </w:p>
        </w:tc>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first requirement pass missed the explicit attachment flag. A source rule now restores it.</w:t>
            </w:r>
          </w:p>
        </w:tc>
        <w:tc>
          <w:tcPr>
            <w:tcW w:type="dxa" w:w="36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Mandatory details need deterministic checks.</w:t>
            </w:r>
          </w:p>
        </w:tc>
      </w:tr>
      <w:tr>
        <w:trPr>
          <w:cantSplit/>
          <w:trHeight w:hRule="atLeast"/>
        </w:trPr>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Hostile audit</w:t>
            </w:r>
          </w:p>
        </w:tc>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audit found an invented ISO 9001 claim. Final export returned an error and produced no final package.</w:t>
            </w:r>
          </w:p>
        </w:tc>
        <w:tc>
          <w:tcPr>
            <w:tcW w:type="dxa" w:w="36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Unsupported claims remain blocked.</w:t>
            </w:r>
          </w:p>
        </w:tc>
      </w:tr>
      <w:tr>
        <w:trPr>
          <w:cantSplit/>
          <w:trHeight w:hRule="atLeast"/>
        </w:trPr>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Clean audit</w:t>
            </w:r>
          </w:p>
        </w:tc>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model returned four conservative or false-positive findings.</w:t>
            </w:r>
          </w:p>
        </w:tc>
        <w:tc>
          <w:tcPr>
            <w:tcW w:type="dxa" w:w="36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Treat model findings as review inputs, not expert decisions.</w:t>
            </w:r>
          </w:p>
        </w:tc>
      </w:tr>
    </w:tbl>
    <w:p>
      <w:pPr>
        <w:spacing w:after="0"/>
      </w:pPr>
    </w:p>
    <w:p>
      <w:pPr>
        <w:pStyle w:val="BodyText"/>
      </w:pPr>
      <w:r>
        <w:rPr>
          <w:rFonts w:ascii="Arial" w:hAnsi="Arial"/>
          <w:color w:val="111827"/>
          <w:sz w:val="19"/>
        </w:rPr>
        <w:t>No federal proposal specialist has accepted the synthetic sample or the audit prompt. Keep independent review for every pilot.</w:t>
      </w:r>
    </w:p>
    <w:p>
      <w:pPr>
        <w:pStyle w:val="Heading2"/>
        <w:keepNext/>
      </w:pPr>
      <w:r>
        <w:rPr>
          <w:rFonts w:ascii="Arial" w:hAnsi="Arial"/>
          <w:b/>
          <w:color w:val="176B70"/>
          <w:sz w:val="27"/>
        </w:rPr>
        <w:t>How to handle AI output</w:t>
      </w:r>
    </w:p>
    <w:p>
      <w:pPr>
        <w:spacing w:after="60"/>
        <w:ind w:left="374" w:hanging="374"/>
      </w:pPr>
      <w:r>
        <w:rPr>
          <w:rFonts w:ascii="Arial" w:hAnsi="Arial"/>
          <w:color w:val="111827"/>
          <w:sz w:val="18"/>
        </w:rPr>
        <w:t xml:space="preserve">1.  </w:t>
      </w:r>
      <w:r>
        <w:rPr>
          <w:rFonts w:ascii="Arial" w:hAnsi="Arial"/>
          <w:color w:val="111827"/>
          <w:sz w:val="18"/>
        </w:rPr>
        <w:t>Verify every source quote against the displayed source location.</w:t>
      </w:r>
    </w:p>
    <w:p>
      <w:pPr>
        <w:spacing w:after="60"/>
        <w:ind w:left="374" w:hanging="374"/>
      </w:pPr>
      <w:r>
        <w:rPr>
          <w:rFonts w:ascii="Arial" w:hAnsi="Arial"/>
          <w:color w:val="111827"/>
          <w:sz w:val="18"/>
        </w:rPr>
        <w:t xml:space="preserve">2.  </w:t>
      </w:r>
      <w:r>
        <w:rPr>
          <w:rFonts w:ascii="Arial" w:hAnsi="Arial"/>
          <w:color w:val="111827"/>
          <w:sz w:val="18"/>
        </w:rPr>
        <w:t>Split compound requirements into atomic obligations.</w:t>
      </w:r>
    </w:p>
    <w:p>
      <w:pPr>
        <w:spacing w:after="60"/>
        <w:ind w:left="374" w:hanging="374"/>
      </w:pPr>
      <w:r>
        <w:rPr>
          <w:rFonts w:ascii="Arial" w:hAnsi="Arial"/>
          <w:color w:val="111827"/>
          <w:sz w:val="18"/>
        </w:rPr>
        <w:t xml:space="preserve">3.  </w:t>
      </w:r>
      <w:r>
        <w:rPr>
          <w:rFonts w:ascii="Arial" w:hAnsi="Arial"/>
          <w:color w:val="111827"/>
          <w:sz w:val="18"/>
        </w:rPr>
        <w:t>Add any requirement that the model omitted.</w:t>
      </w:r>
    </w:p>
    <w:p>
      <w:pPr>
        <w:spacing w:after="60"/>
        <w:ind w:left="374" w:hanging="374"/>
      </w:pPr>
      <w:r>
        <w:rPr>
          <w:rFonts w:ascii="Arial" w:hAnsi="Arial"/>
          <w:color w:val="111827"/>
          <w:sz w:val="18"/>
        </w:rPr>
        <w:t xml:space="preserve">4.  </w:t>
      </w:r>
      <w:r>
        <w:rPr>
          <w:rFonts w:ascii="Arial" w:hAnsi="Arial"/>
          <w:color w:val="111827"/>
          <w:sz w:val="18"/>
        </w:rPr>
        <w:t>Reject stale, conflicting, vague, or unsupported evidence.</w:t>
      </w:r>
    </w:p>
    <w:p>
      <w:pPr>
        <w:spacing w:after="60"/>
        <w:ind w:left="374" w:hanging="374"/>
      </w:pPr>
      <w:r>
        <w:rPr>
          <w:rFonts w:ascii="Arial" w:hAnsi="Arial"/>
          <w:color w:val="111827"/>
          <w:sz w:val="18"/>
        </w:rPr>
        <w:t xml:space="preserve">5.  </w:t>
      </w:r>
      <w:r>
        <w:rPr>
          <w:rFonts w:ascii="Arial" w:hAnsi="Arial"/>
          <w:color w:val="111827"/>
          <w:sz w:val="18"/>
        </w:rPr>
        <w:t>Resolve valid audit findings and record false positives with reasons.</w:t>
      </w:r>
    </w:p>
    <w:p>
      <w:pPr>
        <w:spacing w:after="60"/>
        <w:ind w:left="374" w:hanging="374"/>
      </w:pPr>
      <w:r>
        <w:rPr>
          <w:rFonts w:ascii="Arial" w:hAnsi="Arial"/>
          <w:color w:val="111827"/>
          <w:sz w:val="18"/>
        </w:rPr>
        <w:t xml:space="preserve">6.  </w:t>
      </w:r>
      <w:r>
        <w:rPr>
          <w:rFonts w:ascii="Arial" w:hAnsi="Arial"/>
          <w:color w:val="111827"/>
          <w:sz w:val="18"/>
        </w:rPr>
        <w:t>Run a new audit after each material correction.</w:t>
      </w:r>
    </w:p>
    <w:p>
      <w:pPr>
        <w:spacing w:after="60"/>
        <w:ind w:left="374" w:hanging="374"/>
      </w:pPr>
      <w:r>
        <w:rPr>
          <w:rFonts w:ascii="Arial" w:hAnsi="Arial"/>
          <w:color w:val="111827"/>
          <w:sz w:val="18"/>
        </w:rPr>
        <w:t xml:space="preserve">7.  </w:t>
      </w:r>
      <w:r>
        <w:rPr>
          <w:rFonts w:ascii="Arial" w:hAnsi="Arial"/>
          <w:color w:val="111827"/>
          <w:sz w:val="18"/>
        </w:rPr>
        <w:t>Require the reviewer and customer to approve the exact final version.</w:t>
      </w:r>
    </w:p>
    <w:p>
      <w:pPr>
        <w:pStyle w:val="Heading1"/>
        <w:keepNext/>
      </w:pPr>
      <w:r>
        <w:rPr>
          <w:rFonts w:ascii="Arial" w:hAnsi="Arial"/>
          <w:b/>
          <w:color w:val="1F3557"/>
          <w:sz w:val="40"/>
        </w:rPr>
        <w:t>The independent reviewer</w:t>
      </w:r>
    </w:p>
    <w:p>
      <w:pPr>
        <w:pStyle w:val="BodyText"/>
      </w:pPr>
      <w:r>
        <w:rPr>
          <w:rFonts w:ascii="Arial" w:hAnsi="Arial"/>
          <w:color w:val="111827"/>
          <w:sz w:val="19"/>
        </w:rPr>
        <w:t>Ask for a fixed quote and available slot now. Authorize paid work only after the customer's deposit becomes available.</w:t>
      </w:r>
    </w:p>
    <w:p>
      <w:pPr>
        <w:pStyle w:val="Heading2"/>
        <w:keepNext/>
      </w:pPr>
      <w:r>
        <w:rPr>
          <w:rFonts w:ascii="Arial" w:hAnsi="Arial"/>
          <w:b/>
          <w:color w:val="176B70"/>
          <w:sz w:val="27"/>
        </w:rPr>
        <w:t>Initial candidates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Candidate</w:t>
            </w:r>
          </w:p>
        </w:tc>
        <w:tc>
          <w:tcPr>
            <w:tcW w:type="dxa" w:w="33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Contact</w:t>
            </w:r>
          </w:p>
        </w:tc>
        <w:tc>
          <w:tcPr>
            <w:tcW w:type="dxa" w:w="360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What to verify</w:t>
            </w:r>
          </w:p>
        </w:tc>
      </w:tr>
      <w:tr>
        <w:trPr>
          <w:cantSplit/>
          <w:trHeight w:hRule="atLeast"/>
        </w:trPr>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Misty Thomas, Government Proposal Experts</w:t>
            </w:r>
          </w:p>
        </w:tc>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+1 678-267-9255; APMP Georgia directory</w:t>
            </w:r>
          </w:p>
        </w:tc>
        <w:tc>
          <w:tcPr>
            <w:tcW w:type="dxa" w:w="36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Recent civilian service RFQ review work and source-based findings</w:t>
            </w:r>
          </w:p>
        </w:tc>
      </w:tr>
      <w:tr>
        <w:trPr>
          <w:cantSplit/>
          <w:trHeight w:hRule="atLeast"/>
        </w:trPr>
        <w:tc>
          <w:tcPr>
            <w:tcW w:type="dxa" w:w="33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Michelle Norman, Norman Professional Communications</w:t>
            </w:r>
          </w:p>
        </w:tc>
        <w:tc>
          <w:tcPr>
            <w:tcW w:type="dxa" w:w="33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+1 404-406-1334; APMP Georgia directory</w:t>
            </w:r>
          </w:p>
        </w:tc>
        <w:tc>
          <w:tcPr>
            <w:tcW w:type="dxa" w:w="360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Federal specialization, availability, and a lawful redacted sample</w:t>
            </w:r>
          </w:p>
        </w:tc>
      </w:tr>
      <w:tr>
        <w:trPr>
          <w:cantSplit/>
          <w:trHeight w:hRule="atLeast"/>
        </w:trPr>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NVS Strategic Solutions</w:t>
            </w:r>
          </w:p>
        </w:tc>
        <w:tc>
          <w:tcPr>
            <w:tcW w:type="dxa" w:w="33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info@nvsstrategicsolutions.com; +1 402-566-5886</w:t>
            </w:r>
          </w:p>
        </w:tc>
        <w:tc>
          <w:tcPr>
            <w:tcW w:type="dxa" w:w="360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Named reviewer, recent relevant work, fixed fee, and correction check</w:t>
            </w:r>
          </w:p>
        </w:tc>
      </w:tr>
    </w:tbl>
    <w:p>
      <w:pPr>
        <w:spacing w:after="0"/>
      </w:pPr>
    </w:p>
    <w:p>
      <w:pPr>
        <w:pStyle w:val="BodyText"/>
      </w:pPr>
      <w:r>
        <w:rPr>
          <w:rFonts w:ascii="Arial" w:hAnsi="Arial"/>
          <w:color w:val="111827"/>
          <w:sz w:val="18"/>
        </w:rPr>
        <w:t xml:space="preserve">Find more candidates through the </w:t>
      </w:r>
      <w:hyperlink r:id="rId11">
        <w:r>
          <w:rPr>
            <w:rFonts w:ascii="Arial" w:hAnsi="Arial"/>
            <w:color w:val="176B70"/>
            <w:sz w:val="19"/>
            <w:u w:val="single"/>
          </w:rPr>
          <w:t>APMP Bid and Proposal Support directory</w:t>
        </w:r>
      </w:hyperlink>
      <w:r>
        <w:rPr>
          <w:rFonts w:ascii="Arial" w:hAnsi="Arial"/>
          <w:color w:val="111827"/>
          <w:sz w:val="18"/>
        </w:rPr>
        <w:t xml:space="preserve"> and the </w:t>
      </w:r>
      <w:hyperlink r:id="rId12">
        <w:r>
          <w:rPr>
            <w:rFonts w:ascii="Arial" w:hAnsi="Arial"/>
            <w:color w:val="176B70"/>
            <w:sz w:val="19"/>
            <w:u w:val="single"/>
          </w:rPr>
          <w:t>APMP Georgia directory</w:t>
        </w:r>
      </w:hyperlink>
      <w:r>
        <w:rPr>
          <w:rFonts w:ascii="Arial" w:hAnsi="Arial"/>
          <w:color w:val="111827"/>
          <w:sz w:val="18"/>
        </w:rPr>
        <w:t>.</w:t>
      </w:r>
    </w:p>
    <w:p>
      <w:pPr>
        <w:pStyle w:val="Heading2"/>
        <w:keepNext/>
      </w:pPr>
      <w:r>
        <w:rPr>
          <w:rFonts w:ascii="Arial" w:hAnsi="Arial"/>
          <w:b/>
          <w:color w:val="176B70"/>
          <w:sz w:val="27"/>
        </w:rPr>
        <w:t>Quote scope</w:t>
      </w:r>
    </w:p>
    <w:p>
      <w:pPr>
        <w:pStyle w:val="ListBullet"/>
        <w:spacing w:after="50"/>
      </w:pPr>
      <w:r>
        <w:rPr>
          <w:rFonts w:ascii="Arial" w:hAnsi="Arial"/>
          <w:color w:val="111827"/>
          <w:sz w:val="18"/>
        </w:rPr>
        <w:t>Request one review and one correction check for the exact final version.</w:t>
      </w:r>
    </w:p>
    <w:p>
      <w:pPr>
        <w:pStyle w:val="ListBullet"/>
        <w:spacing w:after="50"/>
      </w:pPr>
      <w:r>
        <w:rPr>
          <w:rFonts w:ascii="Arial" w:hAnsi="Arial"/>
          <w:color w:val="111827"/>
          <w:sz w:val="18"/>
        </w:rPr>
        <w:t>Limit the package to 60 solicitation pages, 30 evidence pages, a 10-page response, and three references.</w:t>
      </w:r>
    </w:p>
    <w:p>
      <w:pPr>
        <w:pStyle w:val="ListBullet"/>
        <w:spacing w:after="50"/>
      </w:pPr>
      <w:r>
        <w:rPr>
          <w:rFonts w:ascii="Arial" w:hAnsi="Arial"/>
          <w:color w:val="111827"/>
          <w:sz w:val="18"/>
        </w:rPr>
        <w:t>Request a finding log with source page, obligation, response location, severity, correction, and closure status.</w:t>
      </w:r>
    </w:p>
    <w:p>
      <w:pPr>
        <w:pStyle w:val="ListBullet"/>
        <w:spacing w:after="50"/>
      </w:pPr>
      <w:r>
        <w:rPr>
          <w:rFonts w:ascii="Arial" w:hAnsi="Arial"/>
          <w:color w:val="111827"/>
          <w:sz w:val="18"/>
        </w:rPr>
        <w:t>Require a search for obligations that the app missed.</w:t>
      </w:r>
    </w:p>
    <w:p>
      <w:pPr>
        <w:pStyle w:val="ListBullet"/>
        <w:spacing w:after="50"/>
      </w:pPr>
      <w:r>
        <w:rPr>
          <w:rFonts w:ascii="Arial" w:hAnsi="Arial"/>
          <w:color w:val="111827"/>
          <w:sz w:val="18"/>
        </w:rPr>
        <w:t>Require checks for instructions, eligibility, technical content, references, prices, forms, signatures, and amendments.</w:t>
      </w:r>
    </w:p>
    <w:p>
      <w:pPr>
        <w:pStyle w:val="ListBullet"/>
        <w:spacing w:after="50"/>
      </w:pPr>
      <w:r>
        <w:rPr>
          <w:rFonts w:ascii="Arial" w:hAnsi="Arial"/>
          <w:color w:val="111827"/>
          <w:sz w:val="18"/>
        </w:rPr>
        <w:t>Require a written decision for the exact files and hashes.</w:t>
      </w:r>
    </w:p>
    <w:p>
      <w:pPr>
        <w:pStyle w:val="ListBullet"/>
        <w:spacing w:after="50"/>
      </w:pPr>
      <w:r>
        <w:rPr>
          <w:rFonts w:ascii="Arial" w:hAnsi="Arial"/>
          <w:color w:val="111827"/>
          <w:sz w:val="18"/>
        </w:rPr>
        <w:t>Make the fee independent of reviewer acceptance and government award.</w:t>
      </w:r>
    </w:p>
    <w:p>
      <w:pPr>
        <w:pStyle w:val="Heading2"/>
        <w:keepNext/>
      </w:pPr>
      <w:r>
        <w:rPr>
          <w:rFonts w:ascii="Arial" w:hAnsi="Arial"/>
          <w:b/>
          <w:color w:val="176B70"/>
          <w:sz w:val="27"/>
        </w:rPr>
        <w:t>Screening call</w:t>
      </w:r>
    </w:p>
    <w:p>
      <w:pPr>
        <w:spacing w:after="60"/>
        <w:ind w:left="374" w:hanging="374"/>
      </w:pPr>
      <w:r>
        <w:rPr>
          <w:rFonts w:ascii="Arial" w:hAnsi="Arial"/>
          <w:color w:val="111827"/>
          <w:sz w:val="18"/>
        </w:rPr>
        <w:t xml:space="preserve">1.  </w:t>
      </w:r>
      <w:r>
        <w:rPr>
          <w:rFonts w:ascii="Arial" w:hAnsi="Arial"/>
          <w:color w:val="111827"/>
          <w:sz w:val="18"/>
        </w:rPr>
        <w:t>Ask about two recent civilian service RFQs.</w:t>
      </w:r>
    </w:p>
    <w:p>
      <w:pPr>
        <w:spacing w:after="60"/>
        <w:ind w:left="374" w:hanging="374"/>
      </w:pPr>
      <w:r>
        <w:rPr>
          <w:rFonts w:ascii="Arial" w:hAnsi="Arial"/>
          <w:color w:val="111827"/>
          <w:sz w:val="18"/>
        </w:rPr>
        <w:t xml:space="preserve">2.  </w:t>
      </w:r>
      <w:r>
        <w:rPr>
          <w:rFonts w:ascii="Arial" w:hAnsi="Arial"/>
          <w:color w:val="111827"/>
          <w:sz w:val="18"/>
        </w:rPr>
        <w:t>Ask how the reviewer finds missed obligations.</w:t>
      </w:r>
    </w:p>
    <w:p>
      <w:pPr>
        <w:spacing w:after="60"/>
        <w:ind w:left="374" w:hanging="374"/>
      </w:pPr>
      <w:r>
        <w:rPr>
          <w:rFonts w:ascii="Arial" w:hAnsi="Arial"/>
          <w:color w:val="111827"/>
          <w:sz w:val="18"/>
        </w:rPr>
        <w:t xml:space="preserve">3.  </w:t>
      </w:r>
      <w:r>
        <w:rPr>
          <w:rFonts w:ascii="Arial" w:hAnsi="Arial"/>
          <w:color w:val="111827"/>
          <w:sz w:val="18"/>
        </w:rPr>
        <w:t>Ask how the reviewer checks amendments, deadlines, forms, page limits, and references.</w:t>
      </w:r>
    </w:p>
    <w:p>
      <w:pPr>
        <w:spacing w:after="60"/>
        <w:ind w:left="374" w:hanging="374"/>
      </w:pPr>
      <w:r>
        <w:rPr>
          <w:rFonts w:ascii="Arial" w:hAnsi="Arial"/>
          <w:color w:val="111827"/>
          <w:sz w:val="18"/>
        </w:rPr>
        <w:t xml:space="preserve">4.  </w:t>
      </w:r>
      <w:r>
        <w:rPr>
          <w:rFonts w:ascii="Arial" w:hAnsi="Arial"/>
          <w:color w:val="111827"/>
          <w:sz w:val="18"/>
        </w:rPr>
        <w:t>Ask how the reviewer separates unsupported facts from approved future commitments.</w:t>
      </w:r>
    </w:p>
    <w:p>
      <w:pPr>
        <w:spacing w:after="60"/>
        <w:ind w:left="374" w:hanging="374"/>
      </w:pPr>
      <w:r>
        <w:rPr>
          <w:rFonts w:ascii="Arial" w:hAnsi="Arial"/>
          <w:color w:val="111827"/>
          <w:sz w:val="18"/>
        </w:rPr>
        <w:t xml:space="preserve">5.  </w:t>
      </w:r>
      <w:r>
        <w:rPr>
          <w:rFonts w:ascii="Arial" w:hAnsi="Arial"/>
          <w:color w:val="111827"/>
          <w:sz w:val="18"/>
        </w:rPr>
        <w:t>Request a reference and a lawful redacted finding log.</w:t>
      </w:r>
    </w:p>
    <w:p>
      <w:pPr>
        <w:spacing w:after="60"/>
        <w:ind w:left="374" w:hanging="374"/>
      </w:pPr>
      <w:r>
        <w:rPr>
          <w:rFonts w:ascii="Arial" w:hAnsi="Arial"/>
          <w:color w:val="111827"/>
          <w:sz w:val="18"/>
        </w:rPr>
        <w:t xml:space="preserve">6.  </w:t>
      </w:r>
      <w:r>
        <w:rPr>
          <w:rFonts w:ascii="Arial" w:hAnsi="Arial"/>
          <w:color w:val="111827"/>
          <w:sz w:val="18"/>
        </w:rPr>
        <w:t>Confirm independence, confidentiality, conflicts, secure file handling, and deletion terms.</w:t>
      </w:r>
    </w:p>
    <w:p>
      <w:pPr>
        <w:spacing w:after="60"/>
        <w:ind w:left="374" w:hanging="374"/>
      </w:pPr>
      <w:r>
        <w:rPr>
          <w:rFonts w:ascii="Arial" w:hAnsi="Arial"/>
          <w:color w:val="111827"/>
          <w:sz w:val="18"/>
        </w:rPr>
        <w:t xml:space="preserve">7.  </w:t>
      </w:r>
      <w:r>
        <w:rPr>
          <w:rFonts w:ascii="Arial" w:hAnsi="Arial"/>
          <w:color w:val="111827"/>
          <w:sz w:val="18"/>
        </w:rPr>
        <w:t>Confirm the fixed fee, first-review time, correction time, and extra-charge rules.</w:t>
      </w:r>
    </w:p>
    <w:tbl>
      <w:tblPr>
        <w:tblW w:type="auto" w:w="0"/>
        <w:jc w:val="center"/>
        <w:tblLook w:firstColumn="1" w:firstRow="1" w:lastColumn="0" w:lastRow="0" w:noHBand="0" w:noVBand="1" w:val="04A0"/>
      </w:tblPr>
      <w:tblGrid>
        <w:gridCol w:w="10166"/>
      </w:tblGrid>
      <w:tr>
        <w:trPr>
          <w:tblHeader w:val="true"/>
        </w:trPr>
        <w:tc>
          <w:tcPr>
            <w:tcW w:type="dxa" w:w="10166"/>
            <w:shd w:fill="E8F2F2"/>
            <w:tcBorders>
              <w:top w:val="single" w:sz="6" w:color="E8F2F2"/>
              <w:start w:val="single" w:sz="6" w:color="E8F2F2"/>
              <w:bottom w:val="single" w:sz="6" w:color="E8F2F2"/>
              <w:end w:val="single" w:sz="6" w:color="E8F2F2"/>
              <w:insideH w:val="single" w:sz="6" w:color="E8F2F2"/>
              <w:insideV w:val="single" w:sz="6" w:color="E8F2F2"/>
            </w:tcBorders>
            <w:tcMar>
              <w:top w:w="125" w:type="dxa"/>
              <w:start w:w="150" w:type="dxa"/>
              <w:bottom w:w="125" w:type="dxa"/>
              <w:end w:w="150" w:type="dxa"/>
            </w:tcMar>
          </w:tcPr>
          <w:p>
            <w:pPr>
              <w:spacing w:after="60"/>
            </w:pPr>
            <w:r>
              <w:rPr>
                <w:rFonts w:ascii="Arial" w:hAnsi="Arial"/>
                <w:b/>
                <w:color w:val="1F3557"/>
                <w:sz w:val="20"/>
              </w:rPr>
              <w:t>Selection rule</w:t>
            </w:r>
          </w:p>
          <w:p>
            <w:pPr>
              <w:spacing w:after="0"/>
            </w:pPr>
            <w:r>
              <w:rPr>
                <w:rFonts w:ascii="Arial" w:hAnsi="Arial"/>
                <w:color w:val="111827"/>
                <w:sz w:val="18"/>
              </w:rPr>
              <w:t>Choose a reviewer who gives source-based examples. Keep a second qualified candidate available.</w:t>
            </w:r>
          </w:p>
        </w:tc>
      </w:tr>
    </w:tbl>
    <w:p>
      <w:pPr>
        <w:spacing w:after="0"/>
      </w:pPr>
    </w:p>
    <w:p>
      <w:r>
        <w:br w:type="page"/>
      </w:r>
    </w:p>
    <w:p>
      <w:pPr>
        <w:pStyle w:val="Heading1"/>
        <w:keepNext/>
      </w:pPr>
      <w:r>
        <w:rPr>
          <w:rFonts w:ascii="Arial" w:hAnsi="Arial"/>
          <w:b/>
          <w:color w:val="1F3557"/>
          <w:sz w:val="40"/>
        </w:rPr>
        <w:t>Customer intake</w:t>
      </w:r>
    </w:p>
    <w:p>
      <w:pPr>
        <w:pStyle w:val="BodyText"/>
      </w:pPr>
      <w:r>
        <w:rPr>
          <w:rFonts w:ascii="Arial" w:hAnsi="Arial"/>
          <w:color w:val="111827"/>
          <w:sz w:val="19"/>
        </w:rPr>
        <w:t>Accept intake only when the customer provides a complete source set and a named person can answer questions quickly.</w:t>
      </w:r>
    </w:p>
    <w:p>
      <w:pPr>
        <w:spacing w:after="60"/>
        <w:ind w:left="389" w:hanging="389"/>
      </w:pPr>
      <w:r>
        <w:rPr>
          <w:rFonts w:ascii="Arial" w:hAnsi="Arial"/>
          <w:color w:val="111827"/>
          <w:sz w:val="18"/>
        </w:rPr>
        <w:t>☐ The full solicitation, statement of work, instructions, evaluation criteria, forms, attachments, wage information, questions and answers, and every amendment.</w:t>
      </w:r>
    </w:p>
    <w:p>
      <w:pPr>
        <w:spacing w:after="60"/>
        <w:ind w:left="389" w:hanging="389"/>
      </w:pPr>
      <w:r>
        <w:rPr>
          <w:rFonts w:ascii="Arial" w:hAnsi="Arial"/>
          <w:color w:val="111827"/>
          <w:sz w:val="18"/>
        </w:rPr>
        <w:t>☐ The official link, government deadline and time zone, submission destination, site-visit deadline, and question deadline.</w:t>
      </w:r>
    </w:p>
    <w:p>
      <w:pPr>
        <w:spacing w:after="60"/>
        <w:ind w:left="389" w:hanging="389"/>
      </w:pPr>
      <w:r>
        <w:rPr>
          <w:rFonts w:ascii="Arial" w:hAnsi="Arial"/>
          <w:color w:val="111827"/>
          <w:sz w:val="18"/>
        </w:rPr>
        <w:t>☐ The company legal name, address, UEI, CAGE where required, contact, and named approver.</w:t>
      </w:r>
    </w:p>
    <w:p>
      <w:pPr>
        <w:spacing w:after="60"/>
        <w:ind w:left="389" w:hanging="389"/>
      </w:pPr>
      <w:r>
        <w:rPr>
          <w:rFonts w:ascii="Arial" w:hAnsi="Arial"/>
          <w:color w:val="111827"/>
          <w:sz w:val="18"/>
        </w:rPr>
        <w:t>☐ Eligibility and certification evidence with expiry dates.</w:t>
      </w:r>
    </w:p>
    <w:p>
      <w:pPr>
        <w:spacing w:after="60"/>
        <w:ind w:left="389" w:hanging="389"/>
      </w:pPr>
      <w:r>
        <w:rPr>
          <w:rFonts w:ascii="Arial" w:hAnsi="Arial"/>
          <w:color w:val="111827"/>
          <w:sz w:val="18"/>
        </w:rPr>
        <w:t>☐ The capability statement, policies, procedures, resumes, licenses, and staffing commitments required by the RFQ.</w:t>
      </w:r>
    </w:p>
    <w:p>
      <w:pPr>
        <w:spacing w:after="60"/>
        <w:ind w:left="389" w:hanging="389"/>
      </w:pPr>
      <w:r>
        <w:rPr>
          <w:rFonts w:ascii="Arial" w:hAnsi="Arial"/>
          <w:color w:val="111827"/>
          <w:sz w:val="18"/>
        </w:rPr>
        <w:t>☐ The required comparable references with scope, dates, customer details, and requested fields.</w:t>
      </w:r>
    </w:p>
    <w:p>
      <w:pPr>
        <w:spacing w:after="60"/>
        <w:ind w:left="389" w:hanging="389"/>
      </w:pPr>
      <w:r>
        <w:rPr>
          <w:rFonts w:ascii="Arial" w:hAnsi="Arial"/>
          <w:color w:val="111827"/>
          <w:sz w:val="18"/>
        </w:rPr>
        <w:t>☐ The completed pricing schedule, assumptions, quantities, and named price approval.</w:t>
      </w:r>
    </w:p>
    <w:p>
      <w:pPr>
        <w:spacing w:after="60"/>
        <w:ind w:left="389" w:hanging="389"/>
      </w:pPr>
      <w:r>
        <w:rPr>
          <w:rFonts w:ascii="Arial" w:hAnsi="Arial"/>
          <w:color w:val="111827"/>
          <w:sz w:val="18"/>
        </w:rPr>
        <w:t>☐ The required signed forms and amendment acknowledgments.</w:t>
      </w:r>
    </w:p>
    <w:p>
      <w:pPr>
        <w:spacing w:after="60"/>
        <w:ind w:left="389" w:hanging="389"/>
      </w:pPr>
      <w:r>
        <w:rPr>
          <w:rFonts w:ascii="Arial" w:hAnsi="Arial"/>
          <w:color w:val="111827"/>
          <w:sz w:val="18"/>
        </w:rPr>
        <w:t>☐ Written permission for AI processing and access by the named reviewer.</w:t>
      </w:r>
    </w:p>
    <w:p>
      <w:pPr>
        <w:spacing w:after="60"/>
        <w:ind w:left="389" w:hanging="389"/>
      </w:pPr>
      <w:r>
        <w:rPr>
          <w:rFonts w:ascii="Arial" w:hAnsi="Arial"/>
          <w:color w:val="111827"/>
          <w:sz w:val="18"/>
        </w:rPr>
        <w:t>☐ A contact who can answer missing facts within one business day.</w:t>
      </w:r>
    </w:p>
    <w:tbl>
      <w:tblPr>
        <w:tblW w:type="auto" w:w="0"/>
        <w:jc w:val="center"/>
        <w:tblLook w:firstColumn="1" w:firstRow="1" w:lastColumn="0" w:lastRow="0" w:noHBand="0" w:noVBand="1" w:val="04A0"/>
      </w:tblPr>
      <w:tblGrid>
        <w:gridCol w:w="10166"/>
      </w:tblGrid>
      <w:tr>
        <w:trPr>
          <w:tblHeader w:val="true"/>
        </w:trPr>
        <w:tc>
          <w:tcPr>
            <w:tcW w:type="dxa" w:w="10166"/>
            <w:shd w:fill="FBE9E7"/>
            <w:tcBorders>
              <w:top w:val="single" w:sz="6" w:color="FBE9E7"/>
              <w:start w:val="single" w:sz="6" w:color="FBE9E7"/>
              <w:bottom w:val="single" w:sz="6" w:color="FBE9E7"/>
              <w:end w:val="single" w:sz="6" w:color="FBE9E7"/>
              <w:insideH w:val="single" w:sz="6" w:color="FBE9E7"/>
              <w:insideV w:val="single" w:sz="6" w:color="FBE9E7"/>
            </w:tcBorders>
            <w:tcMar>
              <w:top w:w="125" w:type="dxa"/>
              <w:start w:w="150" w:type="dxa"/>
              <w:bottom w:w="125" w:type="dxa"/>
              <w:end w:w="150" w:type="dxa"/>
            </w:tcMar>
          </w:tcPr>
          <w:p>
            <w:pPr>
              <w:spacing w:after="60"/>
            </w:pPr>
            <w:r>
              <w:rPr>
                <w:rFonts w:ascii="Arial" w:hAnsi="Arial"/>
                <w:b/>
                <w:color w:val="1F3557"/>
                <w:sz w:val="20"/>
              </w:rPr>
              <w:t>Intake rule</w:t>
            </w:r>
          </w:p>
          <w:p>
            <w:pPr>
              <w:spacing w:after="0"/>
            </w:pPr>
            <w:r>
              <w:rPr>
                <w:rFonts w:ascii="Arial" w:hAnsi="Arial"/>
                <w:color w:val="111827"/>
                <w:sz w:val="18"/>
              </w:rPr>
              <w:t>Record every missing item as a question. Do not invent an answer to complete intake.</w:t>
            </w:r>
          </w:p>
        </w:tc>
      </w:tr>
    </w:tbl>
    <w:p>
      <w:pPr>
        <w:spacing w:after="0"/>
      </w:pPr>
    </w:p>
    <w:p>
      <w:pPr>
        <w:pStyle w:val="Heading2"/>
        <w:keepNext/>
      </w:pPr>
      <w:r>
        <w:rPr>
          <w:rFonts w:ascii="Arial" w:hAnsi="Arial"/>
          <w:b/>
          <w:color w:val="176B70"/>
          <w:sz w:val="27"/>
        </w:rPr>
        <w:t>Five-day delivery target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Time</w:t>
            </w:r>
          </w:p>
        </w:tc>
        <w:tc>
          <w:tcPr>
            <w:tcW w:type="dxa" w:w="583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Main work</w:t>
            </w:r>
          </w:p>
        </w:tc>
        <w:tc>
          <w:tcPr>
            <w:tcW w:type="dxa" w:w="309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Required result</w:t>
            </w:r>
          </w:p>
        </w:tc>
      </w:tr>
      <w:tr>
        <w:trPr>
          <w:cantSplit/>
          <w:trHeight w:hRule="atLeast"/>
        </w:trPr>
        <w:tc>
          <w:tcPr>
            <w:tcW w:type="dxa" w:w="14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Day 1</w:t>
            </w:r>
          </w:p>
        </w:tc>
        <w:tc>
          <w:tcPr>
            <w:tcW w:type="dxa" w:w="58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Extract requirements and evidence. Compare every source page. Send targeted questions.</w:t>
            </w:r>
          </w:p>
        </w:tc>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complete requirement ledger and approved evidence set</w:t>
            </w:r>
          </w:p>
        </w:tc>
      </w:tr>
      <w:tr>
        <w:trPr>
          <w:cantSplit/>
          <w:trHeight w:hRule="atLeast"/>
        </w:trPr>
        <w:tc>
          <w:tcPr>
            <w:tcW w:type="dxa" w:w="144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Day 2</w:t>
            </w:r>
          </w:p>
        </w:tc>
        <w:tc>
          <w:tcPr>
            <w:tcW w:type="dxa" w:w="58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Record answers and prices. Generate the draft. Inspect DOCX/PDF. Run the separate audit.</w:t>
            </w:r>
          </w:p>
        </w:tc>
        <w:tc>
          <w:tcPr>
            <w:tcW w:type="dxa" w:w="309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complete reviewer handoff bundle</w:t>
            </w:r>
          </w:p>
        </w:tc>
      </w:tr>
      <w:tr>
        <w:trPr>
          <w:cantSplit/>
          <w:trHeight w:hRule="atLeast"/>
        </w:trPr>
        <w:tc>
          <w:tcPr>
            <w:tcW w:type="dxa" w:w="14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Days 3 and 4</w:t>
            </w:r>
          </w:p>
        </w:tc>
        <w:tc>
          <w:tcPr>
            <w:tcW w:type="dxa" w:w="583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Record reviewer findings. Correct sources, mappings, answers, and response. Return the exact corrected version.</w:t>
            </w:r>
          </w:p>
        </w:tc>
        <w:tc>
          <w:tcPr>
            <w:tcW w:type="dxa" w:w="309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written reviewer decision</w:t>
            </w:r>
          </w:p>
        </w:tc>
      </w:tr>
      <w:tr>
        <w:trPr>
          <w:cantSplit/>
          <w:trHeight w:hRule="atLeast"/>
        </w:trPr>
        <w:tc>
          <w:tcPr>
            <w:tcW w:type="dxa" w:w="144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Day 5</w:t>
            </w:r>
          </w:p>
        </w:tc>
        <w:tc>
          <w:tcPr>
            <w:tcW w:type="dxa" w:w="583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Check new amendments. Run the final audit. Obtain customer approval. Collect the balance. Export and inspect.</w:t>
            </w:r>
          </w:p>
        </w:tc>
        <w:tc>
          <w:tcPr>
            <w:tcW w:type="dxa" w:w="309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final handoff package with zero blockers</w:t>
            </w:r>
          </w:p>
        </w:tc>
      </w:tr>
    </w:tbl>
    <w:p>
      <w:pPr>
        <w:spacing w:after="0"/>
      </w:pPr>
    </w:p>
    <w:p>
      <w:pPr>
        <w:pStyle w:val="BodyText"/>
      </w:pPr>
      <w:r>
        <w:rPr>
          <w:rFonts w:ascii="Arial" w:hAnsi="Arial"/>
          <w:color w:val="111827"/>
          <w:sz w:val="19"/>
        </w:rPr>
        <w:t>The target depends on reviewer availability, complete intake, and fast customer answers. State a new schedule before a deadline risk grows.</w:t>
      </w:r>
    </w:p>
    <w:p>
      <w:r>
        <w:br w:type="page"/>
      </w:r>
    </w:p>
    <w:p>
      <w:pPr>
        <w:pStyle w:val="Heading2"/>
        <w:keepNext/>
      </w:pPr>
      <w:r>
        <w:rPr>
          <w:rFonts w:ascii="Arial" w:hAnsi="Arial"/>
          <w:b/>
          <w:color w:val="176B70"/>
          <w:sz w:val="27"/>
        </w:rPr>
        <w:t>Package acceptance</w:t>
      </w:r>
    </w:p>
    <w:p>
      <w:pPr>
        <w:spacing w:after="60"/>
        <w:ind w:left="389" w:hanging="389"/>
      </w:pPr>
      <w:r>
        <w:rPr>
          <w:rFonts w:ascii="Arial" w:hAnsi="Arial"/>
          <w:color w:val="111827"/>
          <w:sz w:val="18"/>
        </w:rPr>
        <w:t>☐ The source manifest lists all files, amendment numbers, dates, versions, and hashes.</w:t>
      </w:r>
    </w:p>
    <w:p>
      <w:pPr>
        <w:spacing w:after="60"/>
        <w:ind w:left="389" w:hanging="389"/>
      </w:pPr>
      <w:r>
        <w:rPr>
          <w:rFonts w:ascii="Arial" w:hAnsi="Arial"/>
          <w:color w:val="111827"/>
          <w:sz w:val="18"/>
        </w:rPr>
        <w:t>☐ Every mandatory requirement remains in the current ledger.</w:t>
      </w:r>
    </w:p>
    <w:p>
      <w:pPr>
        <w:spacing w:after="60"/>
        <w:ind w:left="389" w:hanging="389"/>
      </w:pPr>
      <w:r>
        <w:rPr>
          <w:rFonts w:ascii="Arial" w:hAnsi="Arial"/>
          <w:color w:val="111827"/>
          <w:sz w:val="18"/>
        </w:rPr>
        <w:t>☐ Every factual claim has approved evidence or a named customer answer.</w:t>
      </w:r>
    </w:p>
    <w:p>
      <w:pPr>
        <w:spacing w:after="60"/>
        <w:ind w:left="389" w:hanging="389"/>
      </w:pPr>
      <w:r>
        <w:rPr>
          <w:rFonts w:ascii="Arial" w:hAnsi="Arial"/>
          <w:color w:val="111827"/>
          <w:sz w:val="18"/>
        </w:rPr>
        <w:t>☐ The customer approved the exact prices, facts, signatures, staffing, and commitments.</w:t>
      </w:r>
    </w:p>
    <w:p>
      <w:pPr>
        <w:spacing w:after="60"/>
        <w:ind w:left="389" w:hanging="389"/>
      </w:pPr>
      <w:r>
        <w:rPr>
          <w:rFonts w:ascii="Arial" w:hAnsi="Arial"/>
          <w:color w:val="111827"/>
          <w:sz w:val="18"/>
        </w:rPr>
        <w:t>☐ The reviewer closed all mandatory findings for the exact final files.</w:t>
      </w:r>
    </w:p>
    <w:p>
      <w:pPr>
        <w:spacing w:after="60"/>
        <w:ind w:left="389" w:hanging="389"/>
      </w:pPr>
      <w:r>
        <w:rPr>
          <w:rFonts w:ascii="Arial" w:hAnsi="Arial"/>
          <w:color w:val="111827"/>
          <w:sz w:val="18"/>
        </w:rPr>
        <w:t>☐ The final audit is current and has no unresolved blockers.</w:t>
      </w:r>
    </w:p>
    <w:p>
      <w:pPr>
        <w:spacing w:after="60"/>
        <w:ind w:left="389" w:hanging="389"/>
      </w:pPr>
      <w:r>
        <w:rPr>
          <w:rFonts w:ascii="Arial" w:hAnsi="Arial"/>
          <w:color w:val="111827"/>
          <w:sz w:val="18"/>
        </w:rPr>
        <w:t>☐ The DOCX and PDF show the correct page count, filenames, tables, signatures, and attachments.</w:t>
      </w:r>
    </w:p>
    <w:p>
      <w:pPr>
        <w:spacing w:after="60"/>
        <w:ind w:left="389" w:hanging="389"/>
      </w:pPr>
      <w:r>
        <w:rPr>
          <w:rFonts w:ascii="Arial" w:hAnsi="Arial"/>
          <w:color w:val="111827"/>
          <w:sz w:val="18"/>
        </w:rPr>
        <w:t>☐ The app state is SUBMISSION_READY for the exact version.</w:t>
      </w:r>
    </w:p>
    <w:p>
      <w:pPr>
        <w:spacing w:after="60"/>
        <w:ind w:left="389" w:hanging="389"/>
      </w:pPr>
      <w:r>
        <w:rPr>
          <w:rFonts w:ascii="Arial" w:hAnsi="Arial"/>
          <w:color w:val="111827"/>
          <w:sz w:val="18"/>
        </w:rPr>
        <w:t>☐ The balance is available before release.</w:t>
      </w:r>
    </w:p>
    <w:p>
      <w:pPr>
        <w:spacing w:after="60"/>
        <w:ind w:left="389" w:hanging="389"/>
      </w:pPr>
      <w:r>
        <w:rPr>
          <w:rFonts w:ascii="Arial" w:hAnsi="Arial"/>
          <w:color w:val="111827"/>
          <w:sz w:val="18"/>
        </w:rPr>
        <w:t>☐ The customer received submission instructions and will keep the receipt.</w:t>
      </w:r>
    </w:p>
    <w:p>
      <w:pPr>
        <w:pStyle w:val="Heading2"/>
        <w:keepNext/>
      </w:pPr>
      <w:r>
        <w:rPr>
          <w:rFonts w:ascii="Arial" w:hAnsi="Arial"/>
          <w:b/>
          <w:color w:val="176B70"/>
          <w:sz w:val="27"/>
        </w:rPr>
        <w:t>Final release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Field</w:t>
            </w:r>
          </w:p>
        </w:tc>
        <w:tc>
          <w:tcPr>
            <w:tcW w:type="dxa" w:w="712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Exact value</w:t>
            </w:r>
          </w:p>
        </w:tc>
      </w:tr>
      <w:tr>
        <w:trPr>
          <w:cantSplit/>
          <w:trHeight w:hRule="atLeast"/>
        </w:trPr>
        <w:tc>
          <w:tcPr>
            <w:tcW w:type="dxa" w:w="32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RFQ and source freeze</w:t>
            </w:r>
          </w:p>
        </w:tc>
        <w:tc>
          <w:tcPr>
            <w:tcW w:type="dxa" w:w="71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Proposal revision and hash</w:t>
            </w:r>
          </w:p>
        </w:tc>
        <w:tc>
          <w:tcPr>
            <w:tcW w:type="dxa" w:w="71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Reviewer decision and date</w:t>
            </w:r>
          </w:p>
        </w:tc>
        <w:tc>
          <w:tcPr>
            <w:tcW w:type="dxa" w:w="71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Customer approval and date</w:t>
            </w:r>
          </w:p>
        </w:tc>
        <w:tc>
          <w:tcPr>
            <w:tcW w:type="dxa" w:w="71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Balance available</w:t>
            </w:r>
          </w:p>
        </w:tc>
        <w:tc>
          <w:tcPr>
            <w:tcW w:type="dxa" w:w="71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Final export hash</w:t>
            </w:r>
          </w:p>
        </w:tc>
        <w:tc>
          <w:tcPr>
            <w:tcW w:type="dxa" w:w="71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r>
        <w:trPr>
          <w:cantSplit/>
          <w:trHeight w:hRule="atLeast"/>
        </w:trPr>
        <w:tc>
          <w:tcPr>
            <w:tcW w:type="dxa" w:w="324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Government deadline</w:t>
            </w:r>
          </w:p>
        </w:tc>
        <w:tc>
          <w:tcPr>
            <w:tcW w:type="dxa" w:w="71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____________________________________________</w:t>
            </w:r>
          </w:p>
        </w:tc>
      </w:tr>
    </w:tbl>
    <w:p>
      <w:pPr>
        <w:spacing w:after="0"/>
      </w:pPr>
    </w:p>
    <w:p>
      <w:pPr>
        <w:pStyle w:val="Heading1"/>
        <w:keepNext/>
      </w:pPr>
      <w:r>
        <w:rPr>
          <w:rFonts w:ascii="Arial" w:hAnsi="Arial"/>
          <w:b/>
          <w:color w:val="1F3557"/>
          <w:sz w:val="40"/>
        </w:rPr>
        <w:t>Your first day after handover</w:t>
      </w:r>
    </w:p>
    <w:p>
      <w:pPr>
        <w:pStyle w:val="BodyText"/>
      </w:pPr>
      <w:r>
        <w:rPr>
          <w:rFonts w:ascii="Arial" w:hAnsi="Arial"/>
          <w:color w:val="111827"/>
          <w:sz w:val="19"/>
        </w:rPr>
        <w:t>Complete these actions before you contact prospects or accept customer documents.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691"/>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Order</w:t>
            </w:r>
          </w:p>
        </w:tc>
        <w:tc>
          <w:tcPr>
            <w:tcW w:type="dxa" w:w="576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Action</w:t>
            </w:r>
          </w:p>
        </w:tc>
        <w:tc>
          <w:tcPr>
            <w:tcW w:type="dxa" w:w="3916"/>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Done when</w:t>
            </w:r>
          </w:p>
        </w:tc>
      </w:tr>
      <w:tr>
        <w:trPr>
          <w:cantSplit/>
          <w:trHeight w:hRule="atLeast"/>
        </w:trPr>
        <w:tc>
          <w:tcPr>
            <w:tcW w:type="dxa" w:w="69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1</w:t>
            </w:r>
          </w:p>
        </w:tc>
        <w:tc>
          <w:tcPr>
            <w:tcW w:type="dxa" w:w="576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Read this primer and the launch kit.</w:t>
            </w:r>
          </w:p>
        </w:tc>
        <w:tc>
          <w:tcPr>
            <w:tcW w:type="dxa" w:w="39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You can explain the offer, workflow, stop conditions, and approval chain.</w:t>
            </w:r>
          </w:p>
        </w:tc>
      </w:tr>
      <w:tr>
        <w:trPr>
          <w:cantSplit/>
          <w:trHeight w:hRule="atLeast"/>
        </w:trPr>
        <w:tc>
          <w:tcPr>
            <w:tcW w:type="dxa" w:w="69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2</w:t>
            </w:r>
          </w:p>
        </w:tc>
        <w:tc>
          <w:tcPr>
            <w:tcW w:type="dxa" w:w="576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Start the app and run the tests.</w:t>
            </w:r>
          </w:p>
        </w:tc>
        <w:tc>
          <w:tcPr>
            <w:tcW w:type="dxa" w:w="39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local page opens and all current tests pass.</w:t>
            </w:r>
          </w:p>
        </w:tc>
      </w:tr>
      <w:tr>
        <w:trPr>
          <w:cantSplit/>
          <w:trHeight w:hRule="atLeast"/>
        </w:trPr>
        <w:tc>
          <w:tcPr>
            <w:tcW w:type="dxa" w:w="69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3</w:t>
            </w:r>
          </w:p>
        </w:tc>
        <w:tc>
          <w:tcPr>
            <w:tcW w:type="dxa" w:w="576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Rotate the OpenRouter key and update the Keychain.</w:t>
            </w:r>
          </w:p>
        </w:tc>
        <w:tc>
          <w:tcPr>
            <w:tcW w:type="dxa" w:w="39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live synthetic extraction and audit complete without exposing the key.</w:t>
            </w:r>
          </w:p>
        </w:tc>
      </w:tr>
      <w:tr>
        <w:trPr>
          <w:cantSplit/>
          <w:trHeight w:hRule="atLeast"/>
        </w:trPr>
        <w:tc>
          <w:tcPr>
            <w:tcW w:type="dxa" w:w="69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4</w:t>
            </w:r>
          </w:p>
        </w:tc>
        <w:tc>
          <w:tcPr>
            <w:tcW w:type="dxa" w:w="576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Fill the seller name, country, address, contact, tax details, and payment method.</w:t>
            </w:r>
          </w:p>
        </w:tc>
        <w:tc>
          <w:tcPr>
            <w:tcW w:type="dxa" w:w="39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order and invoice contain no seller placeholders.</w:t>
            </w:r>
          </w:p>
        </w:tc>
      </w:tr>
      <w:tr>
        <w:trPr>
          <w:cantSplit/>
          <w:trHeight w:hRule="atLeast"/>
        </w:trPr>
        <w:tc>
          <w:tcPr>
            <w:tcW w:type="dxa" w:w="69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5</w:t>
            </w:r>
          </w:p>
        </w:tc>
        <w:tc>
          <w:tcPr>
            <w:tcW w:type="dxa" w:w="576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Set up the business mailbox, sending-domain records, postal address, and opt-out list.</w:t>
            </w:r>
          </w:p>
        </w:tc>
        <w:tc>
          <w:tcPr>
            <w:tcW w:type="dxa" w:w="39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test email passes SPF, DKIM, and DMARC checks.</w:t>
            </w:r>
          </w:p>
        </w:tc>
      </w:tr>
      <w:tr>
        <w:trPr>
          <w:cantSplit/>
          <w:trHeight w:hRule="atLeast"/>
        </w:trPr>
        <w:tc>
          <w:tcPr>
            <w:tcW w:type="dxa" w:w="69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6</w:t>
            </w:r>
          </w:p>
        </w:tc>
        <w:tc>
          <w:tcPr>
            <w:tcW w:type="dxa" w:w="576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Set up a private intake folder and retention process.</w:t>
            </w:r>
          </w:p>
        </w:tc>
        <w:tc>
          <w:tcPr>
            <w:tcW w:type="dxa" w:w="39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Only named people can access the folder.</w:t>
            </w:r>
          </w:p>
        </w:tc>
      </w:tr>
      <w:tr>
        <w:trPr>
          <w:cantSplit/>
          <w:trHeight w:hRule="atLeast"/>
        </w:trPr>
        <w:tc>
          <w:tcPr>
            <w:tcW w:type="dxa" w:w="69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7</w:t>
            </w:r>
          </w:p>
        </w:tc>
        <w:tc>
          <w:tcPr>
            <w:tcW w:type="dxa" w:w="576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Request written quotes from three reviewers.</w:t>
            </w:r>
          </w:p>
        </w:tc>
        <w:tc>
          <w:tcPr>
            <w:tcW w:type="dxa" w:w="39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You have fee, scope, timing, sample, reference, and deletion terms.</w:t>
            </w:r>
          </w:p>
        </w:tc>
      </w:tr>
      <w:tr>
        <w:trPr>
          <w:cantSplit/>
          <w:trHeight w:hRule="atLeast"/>
        </w:trPr>
        <w:tc>
          <w:tcPr>
            <w:tcW w:type="dxa" w:w="69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8</w:t>
            </w:r>
          </w:p>
        </w:tc>
        <w:tc>
          <w:tcPr>
            <w:tcW w:type="dxa" w:w="576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Configure Monid locally and inspect its available calling workflow.</w:t>
            </w:r>
          </w:p>
        </w:tc>
        <w:tc>
          <w:tcPr>
            <w:tcW w:type="dxa" w:w="39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safe test uses no real prospect and stays within a small budget.</w:t>
            </w:r>
          </w:p>
        </w:tc>
      </w:tr>
      <w:tr>
        <w:trPr>
          <w:cantSplit/>
          <w:trHeight w:hRule="atLeast"/>
        </w:trPr>
        <w:tc>
          <w:tcPr>
            <w:tcW w:type="dxa" w:w="691"/>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9</w:t>
            </w:r>
          </w:p>
        </w:tc>
        <w:tc>
          <w:tcPr>
            <w:tcW w:type="dxa" w:w="576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Create the interest form, consent record, and calendar link.</w:t>
            </w:r>
          </w:p>
        </w:tc>
        <w:tc>
          <w:tcPr>
            <w:tcW w:type="dxa" w:w="3916"/>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form stores wording, timestamp, source, channel, and number.</w:t>
            </w:r>
          </w:p>
        </w:tc>
      </w:tr>
      <w:tr>
        <w:trPr>
          <w:cantSplit/>
          <w:trHeight w:hRule="atLeast"/>
        </w:trPr>
        <w:tc>
          <w:tcPr>
            <w:tcW w:type="dxa" w:w="691"/>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10</w:t>
            </w:r>
          </w:p>
        </w:tc>
        <w:tc>
          <w:tcPr>
            <w:tcW w:type="dxa" w:w="576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Select one active RFQ and five contractors.</w:t>
            </w:r>
          </w:p>
        </w:tc>
        <w:tc>
          <w:tcPr>
            <w:tcW w:type="dxa" w:w="3916"/>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Each match has a source-based reason and enough time before the deadline.</w:t>
            </w:r>
          </w:p>
        </w:tc>
      </w:tr>
    </w:tbl>
    <w:p>
      <w:pPr>
        <w:spacing w:after="0"/>
      </w:pPr>
    </w:p>
    <w:p>
      <w:pPr>
        <w:pStyle w:val="Heading2"/>
        <w:keepNext/>
      </w:pPr>
      <w:r>
        <w:rPr>
          <w:rFonts w:ascii="Arial" w:hAnsi="Arial"/>
          <w:b/>
          <w:color w:val="176B70"/>
          <w:sz w:val="27"/>
        </w:rPr>
        <w:t>First outreach batch</w:t>
      </w:r>
    </w:p>
    <w:p>
      <w:pPr>
        <w:spacing w:after="60"/>
        <w:ind w:left="374" w:hanging="374"/>
      </w:pPr>
      <w:r>
        <w:rPr>
          <w:rFonts w:ascii="Arial" w:hAnsi="Arial"/>
          <w:color w:val="111827"/>
          <w:sz w:val="18"/>
        </w:rPr>
        <w:t xml:space="preserve">1.  </w:t>
      </w:r>
      <w:r>
        <w:rPr>
          <w:rFonts w:ascii="Arial" w:hAnsi="Arial"/>
          <w:color w:val="111827"/>
          <w:sz w:val="18"/>
        </w:rPr>
        <w:t>Prepare five Bid Readiness Scans.</w:t>
      </w:r>
    </w:p>
    <w:p>
      <w:pPr>
        <w:spacing w:after="60"/>
        <w:ind w:left="374" w:hanging="374"/>
      </w:pPr>
      <w:r>
        <w:rPr>
          <w:rFonts w:ascii="Arial" w:hAnsi="Arial"/>
          <w:color w:val="111827"/>
          <w:sz w:val="18"/>
        </w:rPr>
        <w:t xml:space="preserve">2.  </w:t>
      </w:r>
      <w:r>
        <w:rPr>
          <w:rFonts w:ascii="Arial" w:hAnsi="Arial"/>
          <w:color w:val="111827"/>
          <w:sz w:val="18"/>
        </w:rPr>
        <w:t>Approve every fact and source before sending.</w:t>
      </w:r>
    </w:p>
    <w:p>
      <w:pPr>
        <w:spacing w:after="60"/>
        <w:ind w:left="374" w:hanging="374"/>
      </w:pPr>
      <w:r>
        <w:rPr>
          <w:rFonts w:ascii="Arial" w:hAnsi="Arial"/>
          <w:color w:val="111827"/>
          <w:sz w:val="18"/>
        </w:rPr>
        <w:t xml:space="preserve">3.  </w:t>
      </w:r>
      <w:r>
        <w:rPr>
          <w:rFonts w:ascii="Arial" w:hAnsi="Arial"/>
          <w:color w:val="111827"/>
          <w:sz w:val="18"/>
        </w:rPr>
        <w:t>Send five personal emails.</w:t>
      </w:r>
    </w:p>
    <w:p>
      <w:pPr>
        <w:spacing w:after="60"/>
        <w:ind w:left="374" w:hanging="374"/>
      </w:pPr>
      <w:r>
        <w:rPr>
          <w:rFonts w:ascii="Arial" w:hAnsi="Arial"/>
          <w:color w:val="111827"/>
          <w:sz w:val="18"/>
        </w:rPr>
        <w:t xml:space="preserve">4.  </w:t>
      </w:r>
      <w:r>
        <w:rPr>
          <w:rFonts w:ascii="Arial" w:hAnsi="Arial"/>
          <w:color w:val="111827"/>
          <w:sz w:val="18"/>
        </w:rPr>
        <w:t>Make manual live calls where allowed.</w:t>
      </w:r>
    </w:p>
    <w:p>
      <w:pPr>
        <w:spacing w:after="60"/>
        <w:ind w:left="374" w:hanging="374"/>
      </w:pPr>
      <w:r>
        <w:rPr>
          <w:rFonts w:ascii="Arial" w:hAnsi="Arial"/>
          <w:color w:val="111827"/>
          <w:sz w:val="18"/>
        </w:rPr>
        <w:t xml:space="preserve">5.  </w:t>
      </w:r>
      <w:r>
        <w:rPr>
          <w:rFonts w:ascii="Arial" w:hAnsi="Arial"/>
          <w:color w:val="111827"/>
          <w:sz w:val="18"/>
        </w:rPr>
        <w:t>Send one follow-up after two or three business days.</w:t>
      </w:r>
    </w:p>
    <w:p>
      <w:pPr>
        <w:spacing w:after="60"/>
        <w:ind w:left="374" w:hanging="374"/>
      </w:pPr>
      <w:r>
        <w:rPr>
          <w:rFonts w:ascii="Arial" w:hAnsi="Arial"/>
          <w:color w:val="111827"/>
          <w:sz w:val="18"/>
        </w:rPr>
        <w:t xml:space="preserve">6.  </w:t>
      </w:r>
      <w:r>
        <w:rPr>
          <w:rFonts w:ascii="Arial" w:hAnsi="Arial"/>
          <w:color w:val="111827"/>
          <w:sz w:val="18"/>
        </w:rPr>
        <w:t>Record replies, opt-outs, objections, permissions, and next actions.</w:t>
      </w:r>
    </w:p>
    <w:p>
      <w:pPr>
        <w:spacing w:after="60"/>
        <w:ind w:left="374" w:hanging="374"/>
      </w:pPr>
      <w:r>
        <w:rPr>
          <w:rFonts w:ascii="Arial" w:hAnsi="Arial"/>
          <w:color w:val="111827"/>
          <w:sz w:val="18"/>
        </w:rPr>
        <w:t xml:space="preserve">7.  </w:t>
      </w:r>
      <w:r>
        <w:rPr>
          <w:rFonts w:ascii="Arial" w:hAnsi="Arial"/>
          <w:color w:val="111827"/>
          <w:sz w:val="18"/>
        </w:rPr>
        <w:t>Improve the message before the next five prospects.</w:t>
      </w:r>
    </w:p>
    <w:p>
      <w:pPr>
        <w:pStyle w:val="BodyText"/>
      </w:pPr>
      <w:r>
        <w:rPr>
          <w:rFonts w:ascii="Arial" w:hAnsi="Arial"/>
          <w:color w:val="111827"/>
          <w:sz w:val="19"/>
        </w:rPr>
        <w:t>Use targets of 20 qualified prospects, five conversations, and one deposit. Treat them as targets, not forecasts.</w:t>
      </w:r>
    </w:p>
    <w:p>
      <w:pPr>
        <w:pStyle w:val="Heading2"/>
        <w:keepNext/>
      </w:pPr>
      <w:r>
        <w:rPr>
          <w:rFonts w:ascii="Arial" w:hAnsi="Arial"/>
          <w:b/>
          <w:color w:val="176B70"/>
          <w:sz w:val="27"/>
        </w:rPr>
        <w:t>Thirty-day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Period</w:t>
            </w:r>
          </w:p>
        </w:tc>
        <w:tc>
          <w:tcPr>
            <w:tcW w:type="dxa" w:w="612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Focus</w:t>
            </w:r>
          </w:p>
        </w:tc>
        <w:tc>
          <w:tcPr>
            <w:tcW w:type="dxa" w:w="266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Exit result</w:t>
            </w:r>
          </w:p>
        </w:tc>
      </w:tr>
      <w:tr>
        <w:trPr>
          <w:cantSplit/>
          <w:trHeight w:hRule="atLeast"/>
        </w:trPr>
        <w:tc>
          <w:tcPr>
            <w:tcW w:type="dxa" w:w="15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Week 1</w:t>
            </w:r>
          </w:p>
        </w:tc>
        <w:tc>
          <w:tcPr>
            <w:tcW w:type="dxa" w:w="612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Set up business details, payment, email, privacy, reviewer quotes, Monid test, and the first opportunity.</w:t>
            </w:r>
          </w:p>
        </w:tc>
        <w:tc>
          <w:tcPr>
            <w:tcW w:type="dxa" w:w="26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service can accept a safe order.</w:t>
            </w:r>
          </w:p>
        </w:tc>
      </w:tr>
      <w:tr>
        <w:trPr>
          <w:cantSplit/>
          <w:trHeight w:hRule="atLeast"/>
        </w:trPr>
        <w:tc>
          <w:tcPr>
            <w:tcW w:type="dxa" w:w="15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Week 2</w:t>
            </w:r>
          </w:p>
        </w:tc>
        <w:tc>
          <w:tcPr>
            <w:tcW w:type="dxa" w:w="612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Send personalized scans and hold demonstrations.</w:t>
            </w:r>
          </w:p>
        </w:tc>
        <w:tc>
          <w:tcPr>
            <w:tcW w:type="dxa" w:w="26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At least five useful contractor conversations.</w:t>
            </w:r>
          </w:p>
        </w:tc>
      </w:tr>
      <w:tr>
        <w:trPr>
          <w:cantSplit/>
          <w:trHeight w:hRule="atLeast"/>
        </w:trPr>
        <w:tc>
          <w:tcPr>
            <w:tcW w:type="dxa" w:w="158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Week 3</w:t>
            </w:r>
          </w:p>
        </w:tc>
        <w:tc>
          <w:tcPr>
            <w:tcW w:type="dxa" w:w="612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Close and deliver the first funded pilot if a suitable customer agrees.</w:t>
            </w:r>
          </w:p>
        </w:tc>
        <w:tc>
          <w:tcPr>
            <w:tcW w:type="dxa" w:w="266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reviewed final package or a documented stop decision.</w:t>
            </w:r>
          </w:p>
        </w:tc>
      </w:tr>
      <w:tr>
        <w:trPr>
          <w:cantSplit/>
          <w:trHeight w:hRule="atLeast"/>
        </w:trPr>
        <w:tc>
          <w:tcPr>
            <w:tcW w:type="dxa" w:w="158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Week 4</w:t>
            </w:r>
          </w:p>
        </w:tc>
        <w:tc>
          <w:tcPr>
            <w:tcW w:type="dxa" w:w="612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Measure defects, time, cost, objections, corrections, and customer feedback.</w:t>
            </w:r>
          </w:p>
        </w:tc>
        <w:tc>
          <w:tcPr>
            <w:tcW w:type="dxa" w:w="266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 revised process based on observed work.</w:t>
            </w:r>
          </w:p>
        </w:tc>
      </w:tr>
    </w:tbl>
    <w:p>
      <w:pPr>
        <w:spacing w:after="0"/>
      </w:pPr>
    </w:p>
    <w:p>
      <w:r>
        <w:br w:type="page"/>
      </w:r>
    </w:p>
    <w:p>
      <w:pPr>
        <w:pStyle w:val="Heading1"/>
        <w:keepNext/>
      </w:pPr>
      <w:r>
        <w:rPr>
          <w:rFonts w:ascii="Arial" w:hAnsi="Arial"/>
          <w:b/>
          <w:color w:val="1F3557"/>
          <w:sz w:val="40"/>
        </w:rPr>
        <w:t>Controls and records</w:t>
      </w:r>
    </w:p>
    <w:p>
      <w:pPr>
        <w:pStyle w:val="Heading2"/>
        <w:keepNext/>
      </w:pPr>
      <w:r>
        <w:rPr>
          <w:rFonts w:ascii="Arial" w:hAnsi="Arial"/>
          <w:b/>
          <w:color w:val="176B70"/>
          <w:sz w:val="27"/>
        </w:rPr>
        <w:t>Metrics to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Area</w:t>
            </w:r>
          </w:p>
        </w:tc>
        <w:tc>
          <w:tcPr>
            <w:tcW w:type="dxa" w:w="8424"/>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Record</w:t>
            </w:r>
          </w:p>
        </w:tc>
      </w:tr>
      <w:tr>
        <w:trPr>
          <w:cantSplit/>
          <w:trHeight w:hRule="atLeast"/>
        </w:trPr>
        <w:tc>
          <w:tcPr>
            <w:tcW w:type="dxa" w:w="194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Sales</w:t>
            </w:r>
          </w:p>
        </w:tc>
        <w:tc>
          <w:tcPr>
            <w:tcW w:type="dxa" w:w="842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Opportunities, scans, emails, replies, opt-outs, calls, meetings, orders, deposits, and close reasons</w:t>
            </w:r>
          </w:p>
        </w:tc>
      </w:tr>
      <w:tr>
        <w:trPr>
          <w:cantSplit/>
          <w:trHeight w:hRule="atLeast"/>
        </w:trPr>
        <w:tc>
          <w:tcPr>
            <w:tcW w:type="dxa" w:w="194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Delivery</w:t>
            </w:r>
          </w:p>
        </w:tc>
        <w:tc>
          <w:tcPr>
            <w:tcW w:type="dxa" w:w="842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Operator time, customer waiting time, reviewer time, revision count, and delivery time</w:t>
            </w:r>
          </w:p>
        </w:tc>
      </w:tr>
      <w:tr>
        <w:trPr>
          <w:cantSplit/>
          <w:trHeight w:hRule="atLeast"/>
        </w:trPr>
        <w:tc>
          <w:tcPr>
            <w:tcW w:type="dxa" w:w="194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Quality</w:t>
            </w:r>
          </w:p>
        </w:tc>
        <w:tc>
          <w:tcPr>
            <w:tcW w:type="dxa" w:w="842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Missed requirements, unsupported claims, pricing issues, amendment changes, reviewer findings, and final blockers</w:t>
            </w:r>
          </w:p>
        </w:tc>
      </w:tr>
      <w:tr>
        <w:trPr>
          <w:cantSplit/>
          <w:trHeight w:hRule="atLeast"/>
        </w:trPr>
        <w:tc>
          <w:tcPr>
            <w:tcW w:type="dxa" w:w="194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Cash</w:t>
            </w:r>
          </w:p>
        </w:tc>
        <w:tc>
          <w:tcPr>
            <w:tcW w:type="dxa" w:w="8424"/>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Model cost, reviewer fee, payment fee, refunds, balance, and net cash</w:t>
            </w:r>
          </w:p>
        </w:tc>
      </w:tr>
      <w:tr>
        <w:trPr>
          <w:cantSplit/>
          <w:trHeight w:hRule="atLeast"/>
        </w:trPr>
        <w:tc>
          <w:tcPr>
            <w:tcW w:type="dxa" w:w="194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Customer</w:t>
            </w:r>
          </w:p>
        </w:tc>
        <w:tc>
          <w:tcPr>
            <w:tcW w:type="dxa" w:w="8424"/>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Time saved, hard steps, satisfaction, submission receipt, and referral permission</w:t>
            </w:r>
          </w:p>
        </w:tc>
      </w:tr>
    </w:tbl>
    <w:p>
      <w:pPr>
        <w:spacing w:after="0"/>
      </w:pPr>
    </w:p>
    <w:p>
      <w:pPr>
        <w:pStyle w:val="BodyText"/>
      </w:pPr>
      <w:r>
        <w:rPr>
          <w:rFonts w:ascii="Arial" w:hAnsi="Arial"/>
          <w:color w:val="111827"/>
          <w:sz w:val="19"/>
        </w:rPr>
        <w:t>Do not remove expert review after one successful sample or one paid bid. Use real defect records to change the control.</w:t>
      </w:r>
    </w:p>
    <w:p>
      <w:pPr>
        <w:pStyle w:val="Heading2"/>
        <w:keepNext/>
      </w:pPr>
      <w:r>
        <w:rPr>
          <w:rFonts w:ascii="Arial" w:hAnsi="Arial"/>
          <w:b/>
          <w:color w:val="176B70"/>
          <w:sz w:val="27"/>
        </w:rPr>
        <w:t>Security and privacy</w:t>
      </w:r>
    </w:p>
    <w:p>
      <w:pPr>
        <w:spacing w:after="60"/>
        <w:ind w:left="389" w:hanging="389"/>
      </w:pPr>
      <w:r>
        <w:rPr>
          <w:rFonts w:ascii="Arial" w:hAnsi="Arial"/>
          <w:color w:val="111827"/>
          <w:sz w:val="18"/>
        </w:rPr>
        <w:t>☐ Keep keys and passwords out of the repository, documents, email, and chat.</w:t>
      </w:r>
    </w:p>
    <w:p>
      <w:pPr>
        <w:spacing w:after="60"/>
        <w:ind w:left="389" w:hanging="389"/>
      </w:pPr>
      <w:r>
        <w:rPr>
          <w:rFonts w:ascii="Arial" w:hAnsi="Arial"/>
          <w:color w:val="111827"/>
          <w:sz w:val="18"/>
        </w:rPr>
        <w:t>☐ Use the macOS Keychain for the OpenRouter credential.</w:t>
      </w:r>
    </w:p>
    <w:p>
      <w:pPr>
        <w:spacing w:after="60"/>
        <w:ind w:left="389" w:hanging="389"/>
      </w:pPr>
      <w:r>
        <w:rPr>
          <w:rFonts w:ascii="Arial" w:hAnsi="Arial"/>
          <w:color w:val="111827"/>
          <w:sz w:val="18"/>
        </w:rPr>
        <w:t>☐ Use a private customer folder with named access.</w:t>
      </w:r>
    </w:p>
    <w:p>
      <w:pPr>
        <w:spacing w:after="60"/>
        <w:ind w:left="389" w:hanging="389"/>
      </w:pPr>
      <w:r>
        <w:rPr>
          <w:rFonts w:ascii="Arial" w:hAnsi="Arial"/>
          <w:color w:val="111827"/>
          <w:sz w:val="18"/>
        </w:rPr>
        <w:t>☐ Confirm the customer has authority to share every uploaded document.</w:t>
      </w:r>
    </w:p>
    <w:p>
      <w:pPr>
        <w:spacing w:after="60"/>
        <w:ind w:left="389" w:hanging="389"/>
      </w:pPr>
      <w:r>
        <w:rPr>
          <w:rFonts w:ascii="Arial" w:hAnsi="Arial"/>
          <w:color w:val="111827"/>
          <w:sz w:val="18"/>
        </w:rPr>
        <w:t>☐ Do not accept classified data or controlled information that needs an unimplemented security standard.</w:t>
      </w:r>
    </w:p>
    <w:p>
      <w:pPr>
        <w:spacing w:after="60"/>
        <w:ind w:left="389" w:hanging="389"/>
      </w:pPr>
      <w:r>
        <w:rPr>
          <w:rFonts w:ascii="Arial" w:hAnsi="Arial"/>
          <w:color w:val="111827"/>
          <w:sz w:val="18"/>
        </w:rPr>
        <w:t>☐ Agree the storage location, access list, retention period, and deletion process before intake.</w:t>
      </w:r>
    </w:p>
    <w:p>
      <w:pPr>
        <w:spacing w:after="60"/>
        <w:ind w:left="389" w:hanging="389"/>
      </w:pPr>
      <w:r>
        <w:rPr>
          <w:rFonts w:ascii="Arial" w:hAnsi="Arial"/>
          <w:color w:val="111827"/>
          <w:sz w:val="18"/>
        </w:rPr>
        <w:t>☐ Use encrypted storage and backups before production hosting.</w:t>
      </w:r>
    </w:p>
    <w:p>
      <w:pPr>
        <w:spacing w:after="60"/>
        <w:ind w:left="389" w:hanging="389"/>
      </w:pPr>
      <w:r>
        <w:rPr>
          <w:rFonts w:ascii="Arial" w:hAnsi="Arial"/>
          <w:color w:val="111827"/>
          <w:sz w:val="18"/>
        </w:rPr>
        <w:t>☐ Use the SQLite backup process. Do not copy only the active database file during writes.</w:t>
      </w:r>
    </w:p>
    <w:p>
      <w:pPr>
        <w:spacing w:after="60"/>
        <w:ind w:left="389" w:hanging="389"/>
      </w:pPr>
      <w:r>
        <w:rPr>
          <w:rFonts w:ascii="Arial" w:hAnsi="Arial"/>
          <w:color w:val="111827"/>
          <w:sz w:val="18"/>
        </w:rPr>
        <w:t>☐ Test recovery before accepting live work.</w:t>
      </w:r>
    </w:p>
    <w:p>
      <w:pPr>
        <w:pStyle w:val="Heading2"/>
        <w:keepNext/>
      </w:pPr>
      <w:r>
        <w:rPr>
          <w:rFonts w:ascii="Arial" w:hAnsi="Arial"/>
          <w:b/>
          <w:color w:val="176B70"/>
          <w:sz w:val="27"/>
        </w:rPr>
        <w:t>Project file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68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Path</w:t>
            </w:r>
          </w:p>
        </w:tc>
        <w:tc>
          <w:tcPr>
            <w:tcW w:type="dxa" w:w="568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Use</w:t>
            </w:r>
          </w:p>
        </w:tc>
      </w:tr>
      <w:tr>
        <w:trPr>
          <w:cantSplit/>
          <w:trHeight w:hRule="atLeast"/>
        </w:trPr>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HANDOVER_STATUS.md</w:t>
            </w:r>
          </w:p>
        </w:tc>
        <w:tc>
          <w:tcPr>
            <w:tcW w:type="dxa" w:w="56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current decisions, completed work, blockers, and next milestones</w:t>
            </w:r>
          </w:p>
        </w:tc>
      </w:tr>
      <w:tr>
        <w:trPr>
          <w:cantSplit/>
          <w:trHeight w:hRule="atLeast"/>
        </w:trPr>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ops/handover</w:t>
            </w:r>
          </w:p>
        </w:tc>
        <w:tc>
          <w:tcPr>
            <w:tcW w:type="dxa" w:w="56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operator primer</w:t>
            </w:r>
          </w:p>
        </w:tc>
      </w:tr>
      <w:tr>
        <w:trPr>
          <w:cantSplit/>
          <w:trHeight w:hRule="atLeast"/>
        </w:trPr>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ops/launch-kit/START-HERE.md</w:t>
            </w:r>
          </w:p>
        </w:tc>
        <w:tc>
          <w:tcPr>
            <w:tcW w:type="dxa" w:w="56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launch status and next actions</w:t>
            </w:r>
          </w:p>
        </w:tc>
      </w:tr>
      <w:tr>
        <w:trPr>
          <w:cantSplit/>
          <w:trHeight w:hRule="atLeast"/>
        </w:trPr>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ops/launch-kit/first-client-funnel.md</w:t>
            </w:r>
          </w:p>
        </w:tc>
        <w:tc>
          <w:tcPr>
            <w:tcW w:type="dxa" w:w="56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opportunity-specific sales funnel</w:t>
            </w:r>
          </w:p>
        </w:tc>
      </w:tr>
      <w:tr>
        <w:trPr>
          <w:cantSplit/>
          <w:trHeight w:hRule="atLeast"/>
        </w:trPr>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ops/launch-kit/sales-playbook.md</w:t>
            </w:r>
          </w:p>
        </w:tc>
        <w:tc>
          <w:tcPr>
            <w:tcW w:type="dxa" w:w="56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Prospect research, email, call, demonstration, and close</w:t>
            </w:r>
          </w:p>
        </w:tc>
      </w:tr>
      <w:tr>
        <w:trPr>
          <w:cantSplit/>
          <w:trHeight w:hRule="atLeast"/>
        </w:trPr>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ops/launch-kit/reviewer-kit.md</w:t>
            </w:r>
          </w:p>
        </w:tc>
        <w:tc>
          <w:tcPr>
            <w:tcW w:type="dxa" w:w="56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Reviewer candidates, quote request, screening, and assignment</w:t>
            </w:r>
          </w:p>
        </w:tc>
      </w:tr>
      <w:tr>
        <w:trPr>
          <w:cantSplit/>
          <w:trHeight w:hRule="atLeast"/>
        </w:trPr>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ops/launch-kit/order-payment-intake.md</w:t>
            </w:r>
          </w:p>
        </w:tc>
        <w:tc>
          <w:tcPr>
            <w:tcW w:type="dxa" w:w="56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Order, invoices, payment process, and intake checklist</w:t>
            </w:r>
          </w:p>
        </w:tc>
      </w:tr>
      <w:tr>
        <w:trPr>
          <w:cantSplit/>
          <w:trHeight w:hRule="atLeast"/>
        </w:trPr>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ops/launch-kit/delivery-checklist.md</w:t>
            </w:r>
          </w:p>
        </w:tc>
        <w:tc>
          <w:tcPr>
            <w:tcW w:type="dxa" w:w="56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five-day production and handoff procedure</w:t>
            </w:r>
          </w:p>
        </w:tc>
      </w:tr>
      <w:tr>
        <w:trPr>
          <w:cantSplit/>
          <w:trHeight w:hRule="atLeast"/>
        </w:trPr>
        <w:tc>
          <w:tcPr>
            <w:tcW w:type="dxa" w:w="468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ops/launch-kit/sample</w:t>
            </w:r>
          </w:p>
        </w:tc>
        <w:tc>
          <w:tcPr>
            <w:tcW w:type="dxa" w:w="56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Fictional output for a demonstration</w:t>
            </w:r>
          </w:p>
        </w:tc>
      </w:tr>
      <w:tr>
        <w:trPr>
          <w:cantSplit/>
          <w:trHeight w:hRule="atLeast"/>
        </w:trPr>
        <w:tc>
          <w:tcPr>
            <w:tcW w:type="dxa" w:w="468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evidence</w:t>
            </w:r>
          </w:p>
        </w:tc>
        <w:tc>
          <w:tcPr>
            <w:tcW w:type="dxa" w:w="56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current test, scan, render, and verification records</w:t>
            </w:r>
          </w:p>
        </w:tc>
      </w:tr>
    </w:tbl>
    <w:p>
      <w:pPr>
        <w:spacing w:after="0"/>
      </w:pPr>
    </w:p>
    <w:p>
      <w:r>
        <w:br w:type="page"/>
      </w:r>
    </w:p>
    <w:p>
      <w:pPr>
        <w:pStyle w:val="Heading1"/>
        <w:keepNext/>
      </w:pPr>
      <w:r>
        <w:rPr>
          <w:rFonts w:ascii="Arial" w:hAnsi="Arial"/>
          <w:b/>
          <w:color w:val="1F3557"/>
          <w:sz w:val="40"/>
        </w:rPr>
        <w:t>Handover acceptance</w:t>
      </w:r>
    </w:p>
    <w:p>
      <w:pPr>
        <w:pStyle w:val="BodyText"/>
      </w:pPr>
      <w:r>
        <w:rPr>
          <w:rFonts w:ascii="Arial" w:hAnsi="Arial"/>
          <w:color w:val="111827"/>
          <w:sz w:val="19"/>
        </w:rPr>
        <w:t>Use this checklist during the live handover. Record any exception before the new operator accepts responsibility.</w:t>
      </w:r>
    </w:p>
    <w:p>
      <w:pPr>
        <w:spacing w:after="60"/>
        <w:ind w:left="389" w:hanging="389"/>
      </w:pPr>
      <w:r>
        <w:rPr>
          <w:rFonts w:ascii="Arial" w:hAnsi="Arial"/>
          <w:color w:val="111827"/>
          <w:sz w:val="18"/>
        </w:rPr>
        <w:t>☐ I can start and stop the app and find the database.</w:t>
      </w:r>
    </w:p>
    <w:p>
      <w:pPr>
        <w:spacing w:after="60"/>
        <w:ind w:left="389" w:hanging="389"/>
      </w:pPr>
      <w:r>
        <w:rPr>
          <w:rFonts w:ascii="Arial" w:hAnsi="Arial"/>
          <w:color w:val="111827"/>
          <w:sz w:val="18"/>
        </w:rPr>
        <w:t>☐ I can explain the product rules and all V0 limits.</w:t>
      </w:r>
    </w:p>
    <w:p>
      <w:pPr>
        <w:spacing w:after="60"/>
        <w:ind w:left="389" w:hanging="389"/>
      </w:pPr>
      <w:r>
        <w:rPr>
          <w:rFonts w:ascii="Arial" w:hAnsi="Arial"/>
          <w:color w:val="111827"/>
          <w:sz w:val="18"/>
        </w:rPr>
        <w:t>☐ I can run a synthetic bid from upload through blocked and approved export.</w:t>
      </w:r>
    </w:p>
    <w:p>
      <w:pPr>
        <w:spacing w:after="60"/>
        <w:ind w:left="389" w:hanging="389"/>
      </w:pPr>
      <w:r>
        <w:rPr>
          <w:rFonts w:ascii="Arial" w:hAnsi="Arial"/>
          <w:color w:val="111827"/>
          <w:sz w:val="18"/>
        </w:rPr>
        <w:t>☐ I can explain why every factual claim needs evidence.</w:t>
      </w:r>
    </w:p>
    <w:p>
      <w:pPr>
        <w:spacing w:after="60"/>
        <w:ind w:left="389" w:hanging="389"/>
      </w:pPr>
      <w:r>
        <w:rPr>
          <w:rFonts w:ascii="Arial" w:hAnsi="Arial"/>
          <w:color w:val="111827"/>
          <w:sz w:val="18"/>
        </w:rPr>
        <w:t>☐ I can identify the customer, operator, model, reviewer, and submission responsibilities.</w:t>
      </w:r>
    </w:p>
    <w:p>
      <w:pPr>
        <w:spacing w:after="60"/>
        <w:ind w:left="389" w:hanging="389"/>
      </w:pPr>
      <w:r>
        <w:rPr>
          <w:rFonts w:ascii="Arial" w:hAnsi="Arial"/>
          <w:color w:val="111827"/>
          <w:sz w:val="18"/>
        </w:rPr>
        <w:t>☐ I can apply the fit gate before an order or invoice.</w:t>
      </w:r>
    </w:p>
    <w:p>
      <w:pPr>
        <w:spacing w:after="60"/>
        <w:ind w:left="389" w:hanging="389"/>
      </w:pPr>
      <w:r>
        <w:rPr>
          <w:rFonts w:ascii="Arial" w:hAnsi="Arial"/>
          <w:color w:val="111827"/>
          <w:sz w:val="18"/>
        </w:rPr>
        <w:t>☐ I can request a reviewer quote without authorizing work.</w:t>
      </w:r>
    </w:p>
    <w:p>
      <w:pPr>
        <w:spacing w:after="60"/>
        <w:ind w:left="389" w:hanging="389"/>
      </w:pPr>
      <w:r>
        <w:rPr>
          <w:rFonts w:ascii="Arial" w:hAnsi="Arial"/>
          <w:color w:val="111827"/>
          <w:sz w:val="18"/>
        </w:rPr>
        <w:t>☐ I can keep reviewer spending within cleared customer funds.</w:t>
      </w:r>
    </w:p>
    <w:p>
      <w:pPr>
        <w:spacing w:after="60"/>
        <w:ind w:left="389" w:hanging="389"/>
      </w:pPr>
      <w:r>
        <w:rPr>
          <w:rFonts w:ascii="Arial" w:hAnsi="Arial"/>
          <w:color w:val="111827"/>
          <w:sz w:val="18"/>
        </w:rPr>
        <w:t>☐ I can run the intake, review, correction, acceptance, and delivery steps.</w:t>
      </w:r>
    </w:p>
    <w:p>
      <w:pPr>
        <w:spacing w:after="60"/>
        <w:ind w:left="389" w:hanging="389"/>
      </w:pPr>
      <w:r>
        <w:rPr>
          <w:rFonts w:ascii="Arial" w:hAnsi="Arial"/>
          <w:color w:val="111827"/>
          <w:sz w:val="18"/>
        </w:rPr>
        <w:t>☐ I can apply the stop conditions without removing a blocker for a deadline or sale.</w:t>
      </w:r>
    </w:p>
    <w:p>
      <w:pPr>
        <w:spacing w:after="60"/>
        <w:ind w:left="389" w:hanging="389"/>
      </w:pPr>
      <w:r>
        <w:rPr>
          <w:rFonts w:ascii="Arial" w:hAnsi="Arial"/>
          <w:color w:val="111827"/>
          <w:sz w:val="18"/>
        </w:rPr>
        <w:t>☐ I know which credentials, business details, and integrations remain incomplete.</w:t>
      </w:r>
    </w:p>
    <w:p>
      <w:pPr>
        <w:spacing w:after="60"/>
        <w:ind w:left="389" w:hanging="389"/>
      </w:pPr>
      <w:r>
        <w:rPr>
          <w:rFonts w:ascii="Arial" w:hAnsi="Arial"/>
          <w:color w:val="111827"/>
          <w:sz w:val="18"/>
        </w:rPr>
        <w:t>☐ I know that the fictional sample is not an expert-approved government response.</w:t>
      </w:r>
    </w:p>
    <w:p>
      <w:pPr>
        <w:pStyle w:val="Heading2"/>
        <w:keepNext/>
      </w:pPr>
      <w:r>
        <w:rPr>
          <w:rFonts w:ascii="Arial" w:hAnsi="Arial"/>
          <w:b/>
          <w:color w:val="176B70"/>
          <w:sz w:val="27"/>
        </w:rPr>
        <w:t>Known open items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52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Open item</w:t>
            </w:r>
          </w:p>
        </w:tc>
        <w:tc>
          <w:tcPr>
            <w:tcW w:type="dxa" w:w="208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Owner</w:t>
            </w:r>
          </w:p>
        </w:tc>
        <w:tc>
          <w:tcPr>
            <w:tcW w:type="dxa" w:w="4752"/>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Next action</w:t>
            </w:r>
          </w:p>
        </w:tc>
      </w:tr>
      <w:tr>
        <w:trPr>
          <w:cantSplit/>
          <w:trHeight w:hRule="atLeast"/>
        </w:trPr>
        <w:tc>
          <w:tcPr>
            <w:tcW w:type="dxa" w:w="35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OpenRouter key appeared in chat</w:t>
            </w:r>
          </w:p>
        </w:tc>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New operator</w:t>
            </w:r>
          </w:p>
        </w:tc>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Rotate it before customer data use.</w:t>
            </w:r>
          </w:p>
        </w:tc>
      </w:tr>
      <w:tr>
        <w:trPr>
          <w:cantSplit/>
          <w:trHeight w:hRule="atLeast"/>
        </w:trPr>
        <w:tc>
          <w:tcPr>
            <w:tcW w:type="dxa" w:w="35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Seller and tax details are placeholders</w:t>
            </w:r>
          </w:p>
        </w:tc>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Business owner</w:t>
            </w:r>
          </w:p>
        </w:tc>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Complete the order and invoice fields.</w:t>
            </w:r>
          </w:p>
        </w:tc>
      </w:tr>
      <w:tr>
        <w:trPr>
          <w:cantSplit/>
          <w:trHeight w:hRule="atLeast"/>
        </w:trPr>
        <w:tc>
          <w:tcPr>
            <w:tcW w:type="dxa" w:w="35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No payment link is verified</w:t>
            </w:r>
          </w:p>
        </w:tc>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Business owner</w:t>
            </w:r>
          </w:p>
        </w:tc>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Confirm a business payment account and payout time.</w:t>
            </w:r>
          </w:p>
        </w:tc>
      </w:tr>
      <w:tr>
        <w:trPr>
          <w:cantSplit/>
          <w:trHeight w:hRule="atLeast"/>
        </w:trPr>
        <w:tc>
          <w:tcPr>
            <w:tcW w:type="dxa" w:w="35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No reviewer is hired</w:t>
            </w:r>
          </w:p>
        </w:tc>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New operator</w:t>
            </w:r>
          </w:p>
        </w:tc>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Request three quotes and select one after screening.</w:t>
            </w:r>
          </w:p>
        </w:tc>
      </w:tr>
      <w:tr>
        <w:trPr>
          <w:cantSplit/>
          <w:trHeight w:hRule="atLeast"/>
        </w:trPr>
        <w:tc>
          <w:tcPr>
            <w:tcW w:type="dxa" w:w="35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Monid has no API key</w:t>
            </w:r>
          </w:p>
        </w:tc>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New operator</w:t>
            </w:r>
          </w:p>
        </w:tc>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Add the key locally and verify the available workflow.</w:t>
            </w:r>
          </w:p>
        </w:tc>
      </w:tr>
      <w:tr>
        <w:trPr>
          <w:cantSplit/>
          <w:trHeight w:hRule="atLeast"/>
        </w:trPr>
        <w:tc>
          <w:tcPr>
            <w:tcW w:type="dxa" w:w="35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No campaign has run</w:t>
            </w:r>
          </w:p>
        </w:tc>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New operator</w:t>
            </w:r>
          </w:p>
        </w:tc>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Test with five approved prospects after setup.</w:t>
            </w:r>
          </w:p>
        </w:tc>
      </w:tr>
      <w:tr>
        <w:trPr>
          <w:cantSplit/>
          <w:trHeight w:hRule="atLeast"/>
        </w:trPr>
        <w:tc>
          <w:tcPr>
            <w:tcW w:type="dxa" w:w="35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No real RFQ has expert acceptance</w:t>
            </w:r>
          </w:p>
        </w:tc>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New operator</w:t>
            </w:r>
          </w:p>
        </w:tc>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Deliver the first funded pilot with full review.</w:t>
            </w:r>
          </w:p>
        </w:tc>
      </w:tr>
      <w:tr>
        <w:trPr>
          <w:cantSplit/>
          <w:trHeight w:hRule="atLeast"/>
        </w:trPr>
        <w:tc>
          <w:tcPr>
            <w:tcW w:type="dxa" w:w="352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app is local only</w:t>
            </w:r>
          </w:p>
        </w:tc>
        <w:tc>
          <w:tcPr>
            <w:tcW w:type="dxa" w:w="208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Technical owner</w:t>
            </w:r>
          </w:p>
        </w:tc>
        <w:tc>
          <w:tcPr>
            <w:tcW w:type="dxa" w:w="4752"/>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Use private production hosting only when remote access becomes necessary.</w:t>
            </w:r>
          </w:p>
        </w:tc>
      </w:tr>
      <w:tr>
        <w:trPr>
          <w:cantSplit/>
          <w:trHeight w:hRule="atLeast"/>
        </w:trPr>
        <w:tc>
          <w:tcPr>
            <w:tcW w:type="dxa" w:w="352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The clean AI audit produced false positives</w:t>
            </w:r>
          </w:p>
        </w:tc>
        <w:tc>
          <w:tcPr>
            <w:tcW w:type="dxa" w:w="208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Operator and technical owner</w:t>
            </w:r>
          </w:p>
        </w:tc>
        <w:tc>
          <w:tcPr>
            <w:tcW w:type="dxa" w:w="4752"/>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6"/>
              </w:rPr>
              <w:t>Keep them blocking until a human resolves them.</w:t>
            </w:r>
          </w:p>
        </w:tc>
      </w:tr>
    </w:tbl>
    <w:p>
      <w:pPr>
        <w:spacing w:after="0"/>
      </w:pPr>
    </w:p>
    <w:p>
      <w:pPr>
        <w:pStyle w:val="Heading2"/>
        <w:keepNext/>
      </w:pPr>
      <w:r>
        <w:rPr>
          <w:rFonts w:ascii="Arial" w:hAnsi="Arial"/>
          <w:b/>
          <w:color w:val="176B70"/>
          <w:sz w:val="27"/>
        </w:rPr>
        <w:t>Handover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Field</w:t>
            </w:r>
          </w:p>
        </w:tc>
        <w:tc>
          <w:tcPr>
            <w:tcW w:type="dxa" w:w="7920"/>
            <w:shd w:fill="1F3557"/>
            <w:tcBorders>
              <w:top w:val="single" w:sz="4" w:color="BFC9D8"/>
              <w:start w:val="single" w:sz="4" w:color="BFC9D8"/>
              <w:bottom w:val="single" w:sz="4" w:color="BFC9D8"/>
              <w:end w:val="single" w:sz="4" w:color="BFC9D8"/>
              <w:insideH w:val="single" w:sz="4" w:color="BFC9D8"/>
              <w:insideV w:val="single" w:sz="4" w:color="BFC9D8"/>
            </w:tcBorders>
            <w:tcMar>
              <w:top w:w="95" w:type="dxa"/>
              <w:start w:w="95" w:type="dxa"/>
              <w:bottom w:w="95" w:type="dxa"/>
              <w:end w:w="95" w:type="dxa"/>
            </w:tcMar>
            <w:vAlign w:val="center"/>
          </w:tcPr>
          <w:p>
            <w:pPr>
              <w:spacing w:after="0"/>
            </w:pPr>
            <w:r>
              <w:rPr>
                <w:rFonts w:ascii="Arial" w:hAnsi="Arial"/>
                <w:b/>
                <w:color w:val="FFFFFF"/>
                <w:sz w:val="16"/>
              </w:rPr>
              <w:t>Record</w:t>
            </w:r>
          </w:p>
        </w:tc>
      </w:tr>
      <w:tr>
        <w:trPr>
          <w:cantSplit/>
          <w:trHeight w:hRule="atLeast"/>
        </w:trPr>
        <w:tc>
          <w:tcPr>
            <w:tcW w:type="dxa" w:w="244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Current owner</w:t>
            </w:r>
          </w:p>
        </w:tc>
        <w:tc>
          <w:tcPr>
            <w:tcW w:type="dxa" w:w="792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Jefferson</w:t>
            </w:r>
          </w:p>
        </w:tc>
      </w:tr>
      <w:tr>
        <w:trPr>
          <w:cantSplit/>
          <w:trHeight w:hRule="atLeast"/>
        </w:trPr>
        <w:tc>
          <w:tcPr>
            <w:tcW w:type="dxa" w:w="244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New operator</w:t>
            </w:r>
          </w:p>
        </w:tc>
        <w:tc>
          <w:tcPr>
            <w:tcW w:type="dxa" w:w="792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w:t>
            </w:r>
          </w:p>
        </w:tc>
      </w:tr>
      <w:tr>
        <w:trPr>
          <w:cantSplit/>
          <w:trHeight w:hRule="atLeast"/>
        </w:trPr>
        <w:tc>
          <w:tcPr>
            <w:tcW w:type="dxa" w:w="244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Handover date</w:t>
            </w:r>
          </w:p>
        </w:tc>
        <w:tc>
          <w:tcPr>
            <w:tcW w:type="dxa" w:w="792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w:t>
            </w:r>
          </w:p>
        </w:tc>
      </w:tr>
      <w:tr>
        <w:trPr>
          <w:cantSplit/>
          <w:trHeight w:hRule="atLeast"/>
        </w:trPr>
        <w:tc>
          <w:tcPr>
            <w:tcW w:type="dxa" w:w="2448"/>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Open exceptions</w:t>
            </w:r>
          </w:p>
        </w:tc>
        <w:tc>
          <w:tcPr>
            <w:tcW w:type="dxa" w:w="7920"/>
            <w:shd w:fill="F3F5F7"/>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w:t>
            </w:r>
          </w:p>
        </w:tc>
      </w:tr>
      <w:tr>
        <w:trPr>
          <w:cantSplit/>
          <w:trHeight w:hRule="atLeast"/>
        </w:trPr>
        <w:tc>
          <w:tcPr>
            <w:tcW w:type="dxa" w:w="2448"/>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Next review date</w:t>
            </w:r>
          </w:p>
        </w:tc>
        <w:tc>
          <w:tcPr>
            <w:tcW w:type="dxa" w:w="7920"/>
            <w:shd w:fill="FFFFFF"/>
            <w:tcBorders>
              <w:top w:val="single" w:sz="4" w:color="D8DEE6"/>
              <w:start w:val="single" w:sz="4" w:color="D8DEE6"/>
              <w:bottom w:val="single" w:sz="4" w:color="D8DEE6"/>
              <w:end w:val="single" w:sz="4" w:color="D8DEE6"/>
              <w:insideH w:val="single" w:sz="4" w:color="D8DEE6"/>
              <w:insideV w:val="single" w:sz="4" w:color="D8DEE6"/>
            </w:tcBorders>
            <w:tcMar>
              <w:top w:w="90" w:type="dxa"/>
              <w:start w:w="95" w:type="dxa"/>
              <w:bottom w:w="90" w:type="dxa"/>
              <w:end w:w="95" w:type="dxa"/>
            </w:tcMar>
            <w:vAlign w:val="top"/>
          </w:tcPr>
          <w:p>
            <w:pPr>
              <w:spacing w:after="0" w:line="240" w:lineRule="auto"/>
            </w:pPr>
            <w:r>
              <w:rPr>
                <w:rFonts w:ascii="Arial" w:hAnsi="Arial"/>
                <w:color w:val="111827"/>
                <w:sz w:val="17"/>
              </w:rPr>
              <w:t>________________________________________</w:t>
            </w:r>
          </w:p>
        </w:tc>
      </w:tr>
    </w:tbl>
    <w:p>
      <w:pPr>
        <w:spacing w:after="0"/>
      </w:pPr>
    </w:p>
    <w:p>
      <w:r>
        <w:br w:type="page"/>
      </w:r>
    </w:p>
    <w:p>
      <w:pPr>
        <w:pStyle w:val="Heading2"/>
        <w:keepNext/>
      </w:pPr>
      <w:r>
        <w:rPr>
          <w:rFonts w:ascii="Arial" w:hAnsi="Arial"/>
          <w:b/>
          <w:color w:val="176B70"/>
          <w:sz w:val="27"/>
        </w:rPr>
        <w:t>Reference links</w:t>
      </w:r>
    </w:p>
    <w:p>
      <w:pPr>
        <w:pStyle w:val="ListBullet"/>
      </w:pPr>
      <w:hyperlink r:id="rId13">
        <w:r>
          <w:rPr>
            <w:rFonts w:ascii="Arial" w:hAnsi="Arial"/>
            <w:color w:val="176B70"/>
            <w:sz w:val="19"/>
            <w:u w:val="single"/>
          </w:rPr>
          <w:t>SAM.gov Contract Opportunities</w:t>
        </w:r>
      </w:hyperlink>
    </w:p>
    <w:p>
      <w:pPr>
        <w:pStyle w:val="ListBullet"/>
      </w:pPr>
      <w:hyperlink r:id="rId14">
        <w:r>
          <w:rPr>
            <w:rFonts w:ascii="Arial" w:hAnsi="Arial"/>
            <w:color w:val="176B70"/>
            <w:sz w:val="19"/>
            <w:u w:val="single"/>
          </w:rPr>
          <w:t>USAspending</w:t>
        </w:r>
      </w:hyperlink>
    </w:p>
    <w:p>
      <w:pPr>
        <w:pStyle w:val="ListBullet"/>
      </w:pPr>
      <w:hyperlink r:id="rId9">
        <w:r>
          <w:rPr>
            <w:rFonts w:ascii="Arial" w:hAnsi="Arial"/>
            <w:color w:val="176B70"/>
            <w:sz w:val="19"/>
            <w:u w:val="single"/>
          </w:rPr>
          <w:t>FTC CAN-SPAM compliance guide</w:t>
        </w:r>
      </w:hyperlink>
    </w:p>
    <w:p>
      <w:pPr>
        <w:pStyle w:val="ListBullet"/>
      </w:pPr>
      <w:hyperlink r:id="rId10">
        <w:r>
          <w:rPr>
            <w:rFonts w:ascii="Arial" w:hAnsi="Arial"/>
            <w:color w:val="176B70"/>
            <w:sz w:val="19"/>
            <w:u w:val="single"/>
          </w:rPr>
          <w:t>FCC AI voice ruling</w:t>
        </w:r>
      </w:hyperlink>
    </w:p>
    <w:p>
      <w:pPr>
        <w:pStyle w:val="ListBullet"/>
      </w:pPr>
      <w:hyperlink r:id="rId11">
        <w:r>
          <w:rPr>
            <w:rFonts w:ascii="Arial" w:hAnsi="Arial"/>
            <w:color w:val="176B70"/>
            <w:sz w:val="19"/>
            <w:u w:val="single"/>
          </w:rPr>
          <w:t>APMP Bid and Proposal Support directory</w:t>
        </w:r>
      </w:hyperlink>
    </w:p>
    <w:p>
      <w:pPr>
        <w:pStyle w:val="ListBullet"/>
      </w:pPr>
      <w:hyperlink r:id="rId12">
        <w:r>
          <w:rPr>
            <w:rFonts w:ascii="Arial" w:hAnsi="Arial"/>
            <w:color w:val="176B70"/>
            <w:sz w:val="19"/>
            <w:u w:val="single"/>
          </w:rPr>
          <w:t>APMP Georgia consultant directory</w:t>
        </w:r>
      </w:hyperlink>
    </w:p>
    <w:p>
      <w:pPr>
        <w:pStyle w:val="ListBullet"/>
      </w:pPr>
      <w:hyperlink r:id="rId15">
        <w:r>
          <w:rPr>
            <w:rFonts w:ascii="Arial" w:hAnsi="Arial"/>
            <w:color w:val="176B70"/>
            <w:sz w:val="19"/>
            <w:u w:val="single"/>
          </w:rPr>
          <w:t>NVS Strategic Solutions contact</w:t>
        </w:r>
      </w:hyperlink>
    </w:p>
    <w:p>
      <w:pPr>
        <w:pStyle w:val="ListBullet"/>
      </w:pPr>
      <w:hyperlink r:id="rId16">
        <w:r>
          <w:rPr>
            <w:rFonts w:ascii="Arial" w:hAnsi="Arial"/>
            <w:color w:val="176B70"/>
            <w:sz w:val="19"/>
            <w:u w:val="single"/>
          </w:rPr>
          <w:t>Monid cold-calling demonstration used for the concept</w:t>
        </w:r>
      </w:hyperlink>
    </w:p>
    <w:tbl>
      <w:tblPr>
        <w:tblW w:type="auto" w:w="0"/>
        <w:jc w:val="center"/>
        <w:tblLook w:firstColumn="1" w:firstRow="1" w:lastColumn="0" w:lastRow="0" w:noHBand="0" w:noVBand="1" w:val="04A0"/>
      </w:tblPr>
      <w:tblGrid>
        <w:gridCol w:w="10166"/>
      </w:tblGrid>
      <w:tr>
        <w:trPr>
          <w:tblHeader w:val="true"/>
        </w:trPr>
        <w:tc>
          <w:tcPr>
            <w:tcW w:type="dxa" w:w="10166"/>
            <w:shd w:fill="E8F2F2"/>
            <w:tcBorders>
              <w:top w:val="single" w:sz="6" w:color="E8F2F2"/>
              <w:start w:val="single" w:sz="6" w:color="E8F2F2"/>
              <w:bottom w:val="single" w:sz="6" w:color="E8F2F2"/>
              <w:end w:val="single" w:sz="6" w:color="E8F2F2"/>
              <w:insideH w:val="single" w:sz="6" w:color="E8F2F2"/>
              <w:insideV w:val="single" w:sz="6" w:color="E8F2F2"/>
            </w:tcBorders>
            <w:tcMar>
              <w:top w:w="125" w:type="dxa"/>
              <w:start w:w="150" w:type="dxa"/>
              <w:bottom w:w="125" w:type="dxa"/>
              <w:end w:w="150" w:type="dxa"/>
            </w:tcMar>
          </w:tcPr>
          <w:p>
            <w:pPr>
              <w:spacing w:after="60"/>
            </w:pPr>
            <w:r>
              <w:rPr>
                <w:rFonts w:ascii="Arial" w:hAnsi="Arial"/>
                <w:b/>
                <w:color w:val="1F3557"/>
                <w:sz w:val="20"/>
              </w:rPr>
              <w:t>Final operating rule</w:t>
            </w:r>
          </w:p>
          <w:p>
            <w:pPr>
              <w:spacing w:after="0"/>
            </w:pPr>
            <w:r>
              <w:rPr>
                <w:rFonts w:ascii="Arial" w:hAnsi="Arial"/>
                <w:color w:val="111827"/>
                <w:sz w:val="18"/>
              </w:rPr>
              <w:t>Protect the evidence trail. Keep unresolved issues visible. Release a package only after the exact version has zero blockers and both humans approve it.</w:t>
            </w:r>
          </w:p>
        </w:tc>
      </w:tr>
    </w:tbl>
    <w:p>
      <w:pPr>
        <w:spacing w:after="0"/>
      </w:pPr>
    </w:p>
    <w:sectPr w:rsidR="00FC693F" w:rsidRPr="0006063C" w:rsidSect="00034616">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tc.gov/business-guidance/resources/can-spam-act-compliance-guide-business" TargetMode="External"/><Relationship Id="rId10" Type="http://schemas.openxmlformats.org/officeDocument/2006/relationships/hyperlink" Target="https://docs.fcc.gov/public/attachments/FCC-24-17A1.pdf" TargetMode="External"/><Relationship Id="rId11" Type="http://schemas.openxmlformats.org/officeDocument/2006/relationships/hyperlink" Target="https://www.apmp.org/Web/Web/Learning-Resources/Bid-Proposal-Support.aspx" TargetMode="External"/><Relationship Id="rId12" Type="http://schemas.openxmlformats.org/officeDocument/2006/relationships/hyperlink" Target="https://apmp-ga.com/consultants" TargetMode="External"/><Relationship Id="rId13" Type="http://schemas.openxmlformats.org/officeDocument/2006/relationships/hyperlink" Target="https://sam.gov/opportunities" TargetMode="External"/><Relationship Id="rId14" Type="http://schemas.openxmlformats.org/officeDocument/2006/relationships/hyperlink" Target="https://www.usaspending.gov/search" TargetMode="External"/><Relationship Id="rId15" Type="http://schemas.openxmlformats.org/officeDocument/2006/relationships/hyperlink" Target="https://nvsstrategicsolutions.com/contact/" TargetMode="External"/><Relationship Id="rId16" Type="http://schemas.openxmlformats.org/officeDocument/2006/relationships/hyperlink" Target="https://x.com/MonidHQ/status/2100007120158834944?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Factory Operator Handover Primer</dc:title>
  <dc:subject>Business and operating primer for the Bid Factory V0 federal bid service</dc:subject>
  <dc:creator>Bid Factory</dc:creator>
  <cp:keywords>Bid Factory, operator handover, federal proposal, janitorial RFQ, evidence, compliance</cp:keywords>
  <dc:description>Prepared 27 September 2026</dc:description>
  <cp:lastModifiedBy/>
  <cp:revision>1</cp:revision>
  <dcterms:created xsi:type="dcterms:W3CDTF">2013-12-23T23:15:00Z</dcterms:created>
  <dcterms:modified xsi:type="dcterms:W3CDTF">2013-12-23T23:15:00Z</dcterms:modified>
  <cp:category/>
</cp:coreProperties>
</file>