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line="264" w:lineRule="auto"/>
      </w:pPr>
      <w:r>
        <w:rPr>
          <w:rFonts w:ascii="Montserrat" w:hAnsi="Montserrat" w:eastAsia="Montserrat"/>
          <w:b/>
          <w:i w:val="0"/>
          <w:color w:val="00859B"/>
          <w:sz w:val="19"/>
        </w:rPr>
        <w:t>INFORME EJECUTIVO</w:t>
      </w:r>
    </w:p>
    <w:p>
      <w:pPr>
        <w:spacing w:after="40" w:before="0" w:line="264" w:lineRule="auto"/>
      </w:pPr>
      <w:r>
        <w:rPr>
          <w:rFonts w:ascii="Montserrat" w:hAnsi="Montserrat" w:eastAsia="Montserrat"/>
          <w:b/>
          <w:i w:val="0"/>
          <w:color w:val="0C2340"/>
          <w:sz w:val="38"/>
        </w:rPr>
        <w:t>Cierre de Cartera — Agosto 2026</w:t>
      </w:r>
    </w:p>
    <w:p>
      <w:pPr>
        <w:spacing w:before="40" w:after="120"/>
        <w:pBdr>
          <w:bottom w:val="single" w:sz="24" w:space="1" w:color="84BD00"/>
        </w:pBdr>
      </w:pPr>
    </w:p>
    <w:p>
      <w:pPr>
        <w:spacing w:after="160"/>
      </w:pPr>
      <w:r>
        <w:rPr>
          <w:rFonts w:ascii="Open Sans" w:hAnsi="Open Sans" w:eastAsia="Open Sans"/>
          <w:b/>
          <w:i w:val="0"/>
          <w:color w:val="1B365D"/>
          <w:sz w:val="18"/>
        </w:rPr>
        <w:t xml:space="preserve">Dirigido a: </w:t>
      </w:r>
      <w:r>
        <w:rPr>
          <w:rFonts w:ascii="Open Sans" w:hAnsi="Open Sans" w:eastAsia="Open Sans"/>
          <w:b w:val="0"/>
          <w:i w:val="0"/>
          <w:color w:val="222222"/>
          <w:sz w:val="18"/>
        </w:rPr>
        <w:t xml:space="preserve">Óscar Penagos — Coordinación de Recaudo y Cartera     </w:t>
      </w:r>
      <w:r>
        <w:rPr>
          <w:rFonts w:ascii="Open Sans" w:hAnsi="Open Sans" w:eastAsia="Open Sans"/>
          <w:b/>
          <w:i w:val="0"/>
          <w:color w:val="1B365D"/>
          <w:sz w:val="18"/>
        </w:rPr>
        <w:t xml:space="preserve">Periodo: </w:t>
      </w:r>
      <w:r>
        <w:rPr>
          <w:rFonts w:ascii="Open Sans" w:hAnsi="Open Sans" w:eastAsia="Open Sans"/>
          <w:b w:val="0"/>
          <w:i w:val="0"/>
          <w:color w:val="222222"/>
          <w:sz w:val="18"/>
        </w:rPr>
        <w:t xml:space="preserve">agosto de 2026     </w:t>
      </w:r>
      <w:r>
        <w:rPr>
          <w:rFonts w:ascii="Open Sans" w:hAnsi="Open Sans" w:eastAsia="Open Sans"/>
          <w:b/>
          <w:i w:val="0"/>
          <w:color w:val="1B365D"/>
          <w:sz w:val="18"/>
        </w:rPr>
        <w:t xml:space="preserve">Versión: </w:t>
      </w:r>
      <w:r>
        <w:rPr>
          <w:rFonts w:ascii="Open Sans" w:hAnsi="Open Sans" w:eastAsia="Open Sans"/>
          <w:b w:val="0"/>
          <w:i w:val="0"/>
          <w:color w:val="222222"/>
          <w:sz w:val="18"/>
        </w:rPr>
        <w:t xml:space="preserve">2 — corrige y reemplaza la del 2 de septiembre     </w:t>
      </w:r>
      <w:r>
        <w:rPr>
          <w:rFonts w:ascii="Open Sans" w:hAnsi="Open Sans" w:eastAsia="Open Sans"/>
          <w:b/>
          <w:i w:val="0"/>
          <w:color w:val="1B365D"/>
          <w:sz w:val="18"/>
        </w:rPr>
        <w:t xml:space="preserve">Elaboró: </w:t>
      </w:r>
      <w:r>
        <w:rPr>
          <w:rFonts w:ascii="Open Sans" w:hAnsi="Open Sans" w:eastAsia="Open Sans"/>
          <w:b w:val="0"/>
          <w:i w:val="0"/>
          <w:color w:val="222222"/>
          <w:sz w:val="18"/>
        </w:rPr>
        <w:t xml:space="preserve">Analítica financiera CUN     </w:t>
      </w:r>
    </w:p>
    <w:p>
      <w:pPr>
        <w:spacing w:before="120" w:after="0"/>
        <w:ind w:left="85"/>
        <w:pBdr>
          <w:left w:val="single" w:sz="24" w:space="6" w:color="C8102E"/>
        </w:pBdr>
        <w:shd w:val="clear" w:fill="F0F4F8"/>
      </w:pPr>
      <w:r>
        <w:rPr>
          <w:rFonts w:ascii="Montserrat" w:hAnsi="Montserrat" w:eastAsia="Montserrat"/>
          <w:b/>
          <w:i w:val="0"/>
          <w:color w:val="0C2340"/>
          <w:sz w:val="21"/>
        </w:rPr>
        <w:t>Fe de erratas</w:t>
      </w:r>
    </w:p>
    <w:p>
      <w:pPr>
        <w:spacing w:before="0" w:after="20" w:line="259" w:lineRule="auto"/>
        <w:ind w:left="85"/>
        <w:pBdr>
          <w:left w:val="single" w:sz="24" w:space="6" w:color="C8102E"/>
        </w:pBdr>
        <w:shd w:val="clear" w:fill="F0F4F8"/>
      </w:pPr>
      <w:r>
        <w:rPr>
          <w:rFonts w:ascii="Open Sans" w:hAnsi="Open Sans" w:eastAsia="Open Sans"/>
          <w:b w:val="0"/>
          <w:i w:val="0"/>
          <w:color w:val="222222"/>
          <w:sz w:val="19"/>
        </w:rPr>
        <w:t>Esta versión corrige las cifras de gestión y recaudo que entregamos el 2 de septiembre. El error es nuestro y lo detectamos revisando cómo se atribuye el trabajo a cada asesor: la columna que usábamos para identificar al responsable nunca queda vacía, de modo que cuando la tipificación la hacía el robot del CRM, el sistema se la acreditaba igual a una persona.</w:t>
      </w:r>
    </w:p>
    <w:p>
      <w:pPr>
        <w:spacing w:before="0" w:after="120" w:line="259" w:lineRule="auto"/>
        <w:ind w:left="85"/>
        <w:pBdr>
          <w:left w:val="single" w:sz="24" w:space="6" w:color="C8102E"/>
        </w:pBdr>
        <w:shd w:val="clear" w:fill="F0F4F8"/>
      </w:pPr>
      <w:r>
        <w:rPr>
          <w:rFonts w:ascii="Open Sans" w:hAnsi="Open Sans" w:eastAsia="Open Sans"/>
          <w:b w:val="0"/>
          <w:i w:val="0"/>
          <w:color w:val="222222"/>
          <w:sz w:val="19"/>
        </w:rPr>
        <w:t>Las cifras de cumplimiento de la meta —sección 2— no cambian: no dependían de esa columna. Sí cambian gestión, recaudo y la liquidación por asesor.</w:t>
      </w:r>
    </w:p>
    <w:p>
      <w:pPr>
        <w:spacing w:before="140" w:after="60"/>
      </w:pPr>
      <w:r>
        <w:rPr>
          <w:rFonts w:ascii="Montserrat" w:hAnsi="Montserrat" w:eastAsia="Montserrat"/>
          <w:b/>
          <w:i w:val="0"/>
          <w:color w:val="0C2340"/>
          <w:sz w:val="25"/>
        </w:rPr>
        <w:t>1.  Qué se corrigió y por qué</w:t>
      </w:r>
    </w:p>
    <w:tbl>
      <w:tblPr>
        <w:tblStyle w:val="TableGrid"/>
        <w:tblW w:type="auto" w:w="0"/>
        <w:jc w:val="center"/>
        <w:tblLook w:firstColumn="1" w:firstRow="1" w:lastColumn="0" w:lastRow="0" w:noHBand="0" w:noVBand="1" w:val="04A0"/>
      </w:tblPr>
      <w:tblGrid>
        <w:gridCol w:w="2465"/>
        <w:gridCol w:w="2465"/>
        <w:gridCol w:w="2465"/>
        <w:gridCol w:w="2465"/>
      </w:tblGrid>
      <w:tr>
        <w:tc>
          <w:tcPr>
            <w:tcW w:type="dxa" w:w="3515"/>
            <w:shd w:val="clear" w:fill="0C2340"/>
          </w:tcPr>
          <w:p>
            <w:pPr>
              <w:spacing w:after="20" w:before="20"/>
            </w:pPr>
            <w:r/>
            <w:r>
              <w:rPr>
                <w:rFonts w:ascii="Montserrat" w:hAnsi="Montserrat" w:eastAsia="Montserrat"/>
                <w:b/>
                <w:i w:val="0"/>
                <w:color w:val="FFFFFF"/>
                <w:sz w:val="17"/>
              </w:rPr>
              <w:t>Cifra</w:t>
            </w:r>
          </w:p>
        </w:tc>
        <w:tc>
          <w:tcPr>
            <w:tcW w:type="dxa" w:w="1701"/>
            <w:shd w:val="clear" w:fill="0C2340"/>
          </w:tcPr>
          <w:p>
            <w:pPr>
              <w:spacing w:after="20" w:before="20"/>
              <w:jc w:val="right"/>
            </w:pPr>
            <w:r/>
            <w:r>
              <w:rPr>
                <w:rFonts w:ascii="Montserrat" w:hAnsi="Montserrat" w:eastAsia="Montserrat"/>
                <w:b/>
                <w:i w:val="0"/>
                <w:color w:val="FFFFFF"/>
                <w:sz w:val="17"/>
              </w:rPr>
              <w:t>Publicado 2 sep</w:t>
            </w:r>
          </w:p>
        </w:tc>
        <w:tc>
          <w:tcPr>
            <w:tcW w:type="dxa" w:w="1587"/>
            <w:shd w:val="clear" w:fill="0C2340"/>
          </w:tcPr>
          <w:p>
            <w:pPr>
              <w:spacing w:after="20" w:before="20"/>
              <w:jc w:val="right"/>
            </w:pPr>
            <w:r/>
            <w:r>
              <w:rPr>
                <w:rFonts w:ascii="Montserrat" w:hAnsi="Montserrat" w:eastAsia="Montserrat"/>
                <w:b/>
                <w:i w:val="0"/>
                <w:color w:val="FFFFFF"/>
                <w:sz w:val="17"/>
              </w:rPr>
              <w:t>Corregido</w:t>
            </w:r>
          </w:p>
        </w:tc>
        <w:tc>
          <w:tcPr>
            <w:tcW w:type="dxa" w:w="2381"/>
            <w:shd w:val="clear" w:fill="0C2340"/>
          </w:tcPr>
          <w:p>
            <w:pPr>
              <w:spacing w:after="20" w:before="20"/>
            </w:pPr>
            <w:r/>
            <w:r>
              <w:rPr>
                <w:rFonts w:ascii="Montserrat" w:hAnsi="Montserrat" w:eastAsia="Montserrat"/>
                <w:b/>
                <w:i w:val="0"/>
                <w:color w:val="FFFFFF"/>
                <w:sz w:val="17"/>
              </w:rPr>
              <w:t>Naturaleza</w:t>
            </w:r>
          </w:p>
        </w:tc>
      </w:tr>
      <w:tr>
        <w:tc>
          <w:tcPr>
            <w:tcW w:type="dxa" w:w="3515"/>
          </w:tcPr>
          <w:p>
            <w:pPr>
              <w:spacing w:after="20" w:before="20"/>
            </w:pPr>
            <w:r/>
            <w:r>
              <w:rPr>
                <w:rFonts w:ascii="Open Sans" w:hAnsi="Open Sans" w:eastAsia="Open Sans"/>
                <w:b w:val="0"/>
                <w:i w:val="0"/>
                <w:color w:val="222222"/>
                <w:sz w:val="17"/>
              </w:rPr>
              <w:t>Gestiones de agosto</w:t>
            </w:r>
          </w:p>
        </w:tc>
        <w:tc>
          <w:tcPr>
            <w:tcW w:type="dxa" w:w="1701"/>
          </w:tcPr>
          <w:p>
            <w:pPr>
              <w:spacing w:after="20" w:before="20"/>
              <w:jc w:val="right"/>
            </w:pPr>
            <w:r/>
            <w:r>
              <w:rPr>
                <w:rFonts w:ascii="Open Sans" w:hAnsi="Open Sans" w:eastAsia="Open Sans"/>
                <w:b w:val="0"/>
                <w:i w:val="0"/>
                <w:color w:val="222222"/>
                <w:sz w:val="17"/>
              </w:rPr>
              <w:t>61.767</w:t>
            </w:r>
          </w:p>
        </w:tc>
        <w:tc>
          <w:tcPr>
            <w:tcW w:type="dxa" w:w="1587"/>
          </w:tcPr>
          <w:p>
            <w:pPr>
              <w:spacing w:after="20" w:before="20"/>
              <w:jc w:val="right"/>
            </w:pPr>
            <w:r/>
            <w:r>
              <w:rPr>
                <w:rFonts w:ascii="Open Sans" w:hAnsi="Open Sans" w:eastAsia="Open Sans"/>
                <w:b w:val="0"/>
                <w:i w:val="0"/>
                <w:color w:val="222222"/>
                <w:sz w:val="17"/>
              </w:rPr>
              <w:t>22.941</w:t>
            </w:r>
          </w:p>
        </w:tc>
        <w:tc>
          <w:tcPr>
            <w:tcW w:type="dxa" w:w="2381"/>
          </w:tcPr>
          <w:p>
            <w:pPr>
              <w:spacing w:after="20" w:before="20"/>
            </w:pPr>
            <w:r/>
            <w:r>
              <w:rPr>
                <w:rFonts w:ascii="Open Sans" w:hAnsi="Open Sans" w:eastAsia="Open Sans"/>
                <w:b w:val="0"/>
                <w:i w:val="0"/>
                <w:color w:val="222222"/>
                <w:sz w:val="17"/>
              </w:rPr>
              <w:t>Error de cálculo</w:t>
            </w:r>
          </w:p>
        </w:tc>
      </w:tr>
      <w:tr>
        <w:tc>
          <w:tcPr>
            <w:tcW w:type="dxa" w:w="3515"/>
            <w:shd w:val="clear" w:fill="F8F9FA"/>
          </w:tcPr>
          <w:p>
            <w:pPr>
              <w:spacing w:after="20" w:before="20"/>
            </w:pPr>
            <w:r/>
            <w:r>
              <w:rPr>
                <w:rFonts w:ascii="Open Sans" w:hAnsi="Open Sans" w:eastAsia="Open Sans"/>
                <w:b w:val="0"/>
                <w:i w:val="0"/>
                <w:color w:val="222222"/>
                <w:sz w:val="17"/>
              </w:rPr>
              <w:t>Asesores activos</w:t>
            </w:r>
          </w:p>
        </w:tc>
        <w:tc>
          <w:tcPr>
            <w:tcW w:type="dxa" w:w="1701"/>
            <w:shd w:val="clear" w:fill="F8F9FA"/>
          </w:tcPr>
          <w:p>
            <w:pPr>
              <w:spacing w:after="20" w:before="20"/>
              <w:jc w:val="right"/>
            </w:pPr>
            <w:r/>
            <w:r>
              <w:rPr>
                <w:rFonts w:ascii="Open Sans" w:hAnsi="Open Sans" w:eastAsia="Open Sans"/>
                <w:b w:val="0"/>
                <w:i w:val="0"/>
                <w:color w:val="222222"/>
                <w:sz w:val="17"/>
              </w:rPr>
              <w:t>18</w:t>
            </w:r>
          </w:p>
        </w:tc>
        <w:tc>
          <w:tcPr>
            <w:tcW w:type="dxa" w:w="1587"/>
            <w:shd w:val="clear" w:fill="F8F9FA"/>
          </w:tcPr>
          <w:p>
            <w:pPr>
              <w:spacing w:after="20" w:before="20"/>
              <w:jc w:val="right"/>
            </w:pPr>
            <w:r/>
            <w:r>
              <w:rPr>
                <w:rFonts w:ascii="Open Sans" w:hAnsi="Open Sans" w:eastAsia="Open Sans"/>
                <w:b w:val="0"/>
                <w:i w:val="0"/>
                <w:color w:val="222222"/>
                <w:sz w:val="17"/>
              </w:rPr>
              <w:t>14</w:t>
            </w:r>
          </w:p>
        </w:tc>
        <w:tc>
          <w:tcPr>
            <w:tcW w:type="dxa" w:w="2381"/>
            <w:shd w:val="clear" w:fill="F8F9FA"/>
          </w:tcPr>
          <w:p>
            <w:pPr>
              <w:spacing w:after="20" w:before="20"/>
            </w:pPr>
            <w:r/>
            <w:r>
              <w:rPr>
                <w:rFonts w:ascii="Open Sans" w:hAnsi="Open Sans" w:eastAsia="Open Sans"/>
                <w:b w:val="0"/>
                <w:i w:val="0"/>
                <w:color w:val="222222"/>
                <w:sz w:val="17"/>
              </w:rPr>
              <w:t>Error de cálculo</w:t>
            </w:r>
          </w:p>
        </w:tc>
      </w:tr>
      <w:tr>
        <w:tc>
          <w:tcPr>
            <w:tcW w:type="dxa" w:w="3515"/>
          </w:tcPr>
          <w:p>
            <w:pPr>
              <w:spacing w:after="20" w:before="20"/>
            </w:pPr>
            <w:r/>
            <w:r>
              <w:rPr>
                <w:rFonts w:ascii="Open Sans" w:hAnsi="Open Sans" w:eastAsia="Open Sans"/>
                <w:b w:val="0"/>
                <w:i w:val="0"/>
                <w:color w:val="222222"/>
                <w:sz w:val="17"/>
              </w:rPr>
              <w:t>Personas gestionadas</w:t>
            </w:r>
          </w:p>
        </w:tc>
        <w:tc>
          <w:tcPr>
            <w:tcW w:type="dxa" w:w="1701"/>
          </w:tcPr>
          <w:p>
            <w:pPr>
              <w:spacing w:after="20" w:before="20"/>
              <w:jc w:val="right"/>
            </w:pPr>
            <w:r/>
            <w:r>
              <w:rPr>
                <w:rFonts w:ascii="Open Sans" w:hAnsi="Open Sans" w:eastAsia="Open Sans"/>
                <w:b w:val="0"/>
                <w:i w:val="0"/>
                <w:color w:val="222222"/>
                <w:sz w:val="17"/>
              </w:rPr>
              <w:t>18.716</w:t>
            </w:r>
          </w:p>
        </w:tc>
        <w:tc>
          <w:tcPr>
            <w:tcW w:type="dxa" w:w="1587"/>
          </w:tcPr>
          <w:p>
            <w:pPr>
              <w:spacing w:after="20" w:before="20"/>
              <w:jc w:val="right"/>
            </w:pPr>
            <w:r/>
            <w:r>
              <w:rPr>
                <w:rFonts w:ascii="Open Sans" w:hAnsi="Open Sans" w:eastAsia="Open Sans"/>
                <w:b w:val="0"/>
                <w:i w:val="0"/>
                <w:color w:val="222222"/>
                <w:sz w:val="17"/>
              </w:rPr>
              <w:t>18.483</w:t>
            </w:r>
          </w:p>
        </w:tc>
        <w:tc>
          <w:tcPr>
            <w:tcW w:type="dxa" w:w="2381"/>
          </w:tcPr>
          <w:p>
            <w:pPr>
              <w:spacing w:after="20" w:before="20"/>
            </w:pPr>
            <w:r/>
            <w:r>
              <w:rPr>
                <w:rFonts w:ascii="Open Sans" w:hAnsi="Open Sans" w:eastAsia="Open Sans"/>
                <w:b w:val="0"/>
                <w:i w:val="0"/>
                <w:color w:val="222222"/>
                <w:sz w:val="17"/>
              </w:rPr>
              <w:t>Sin cambio relevante</w:t>
            </w:r>
          </w:p>
        </w:tc>
      </w:tr>
      <w:tr>
        <w:tc>
          <w:tcPr>
            <w:tcW w:type="dxa" w:w="3515"/>
            <w:shd w:val="clear" w:fill="F8F9FA"/>
          </w:tcPr>
          <w:p>
            <w:pPr>
              <w:spacing w:after="20" w:before="20"/>
            </w:pPr>
            <w:r/>
            <w:r>
              <w:rPr>
                <w:rFonts w:ascii="Open Sans" w:hAnsi="Open Sans" w:eastAsia="Open Sans"/>
                <w:b w:val="0"/>
                <w:i w:val="0"/>
                <w:color w:val="222222"/>
                <w:sz w:val="17"/>
              </w:rPr>
              <w:t>Pagos registrados</w:t>
            </w:r>
          </w:p>
        </w:tc>
        <w:tc>
          <w:tcPr>
            <w:tcW w:type="dxa" w:w="1701"/>
            <w:shd w:val="clear" w:fill="F8F9FA"/>
          </w:tcPr>
          <w:p>
            <w:pPr>
              <w:spacing w:after="20" w:before="20"/>
              <w:jc w:val="right"/>
            </w:pPr>
            <w:r/>
            <w:r>
              <w:rPr>
                <w:rFonts w:ascii="Open Sans" w:hAnsi="Open Sans" w:eastAsia="Open Sans"/>
                <w:b w:val="0"/>
                <w:i w:val="0"/>
                <w:color w:val="222222"/>
                <w:sz w:val="17"/>
              </w:rPr>
              <w:t>19.002</w:t>
            </w:r>
          </w:p>
        </w:tc>
        <w:tc>
          <w:tcPr>
            <w:tcW w:type="dxa" w:w="1587"/>
            <w:shd w:val="clear" w:fill="F8F9FA"/>
          </w:tcPr>
          <w:p>
            <w:pPr>
              <w:spacing w:after="20" w:before="20"/>
              <w:jc w:val="right"/>
            </w:pPr>
            <w:r/>
            <w:r>
              <w:rPr>
                <w:rFonts w:ascii="Open Sans" w:hAnsi="Open Sans" w:eastAsia="Open Sans"/>
                <w:b w:val="0"/>
                <w:i w:val="0"/>
                <w:color w:val="222222"/>
                <w:sz w:val="17"/>
              </w:rPr>
              <w:t>9.281</w:t>
            </w:r>
          </w:p>
        </w:tc>
        <w:tc>
          <w:tcPr>
            <w:tcW w:type="dxa" w:w="2381"/>
            <w:shd w:val="clear" w:fill="F8F9FA"/>
          </w:tcPr>
          <w:p>
            <w:pPr>
              <w:spacing w:after="20" w:before="20"/>
            </w:pPr>
            <w:r/>
            <w:r>
              <w:rPr>
                <w:rFonts w:ascii="Open Sans" w:hAnsi="Open Sans" w:eastAsia="Open Sans"/>
                <w:b w:val="0"/>
                <w:i w:val="0"/>
                <w:color w:val="222222"/>
                <w:sz w:val="17"/>
              </w:rPr>
              <w:t>Cambio de criterio</w:t>
            </w:r>
          </w:p>
        </w:tc>
      </w:tr>
      <w:tr>
        <w:tc>
          <w:tcPr>
            <w:tcW w:type="dxa" w:w="3515"/>
          </w:tcPr>
          <w:p>
            <w:pPr>
              <w:spacing w:after="20" w:before="20"/>
            </w:pPr>
            <w:r/>
            <w:r>
              <w:rPr>
                <w:rFonts w:ascii="Open Sans" w:hAnsi="Open Sans" w:eastAsia="Open Sans"/>
                <w:b w:val="0"/>
                <w:i w:val="0"/>
                <w:color w:val="222222"/>
                <w:sz w:val="17"/>
              </w:rPr>
              <w:t>Valor recaudado ($ MM)</w:t>
            </w:r>
          </w:p>
        </w:tc>
        <w:tc>
          <w:tcPr>
            <w:tcW w:type="dxa" w:w="1701"/>
          </w:tcPr>
          <w:p>
            <w:pPr>
              <w:spacing w:after="20" w:before="20"/>
              <w:jc w:val="right"/>
            </w:pPr>
            <w:r/>
            <w:r>
              <w:rPr>
                <w:rFonts w:ascii="Open Sans" w:hAnsi="Open Sans" w:eastAsia="Open Sans"/>
                <w:b w:val="0"/>
                <w:i w:val="0"/>
                <w:color w:val="222222"/>
                <w:sz w:val="17"/>
              </w:rPr>
              <w:t>5.483,9</w:t>
            </w:r>
          </w:p>
        </w:tc>
        <w:tc>
          <w:tcPr>
            <w:tcW w:type="dxa" w:w="1587"/>
          </w:tcPr>
          <w:p>
            <w:pPr>
              <w:spacing w:after="20" w:before="20"/>
              <w:jc w:val="right"/>
            </w:pPr>
            <w:r/>
            <w:r>
              <w:rPr>
                <w:rFonts w:ascii="Open Sans" w:hAnsi="Open Sans" w:eastAsia="Open Sans"/>
                <w:b w:val="0"/>
                <w:i w:val="0"/>
                <w:color w:val="222222"/>
                <w:sz w:val="17"/>
              </w:rPr>
              <w:t>2.408,8</w:t>
            </w:r>
          </w:p>
        </w:tc>
        <w:tc>
          <w:tcPr>
            <w:tcW w:type="dxa" w:w="2381"/>
          </w:tcPr>
          <w:p>
            <w:pPr>
              <w:spacing w:after="20" w:before="20"/>
            </w:pPr>
            <w:r/>
            <w:r>
              <w:rPr>
                <w:rFonts w:ascii="Open Sans" w:hAnsi="Open Sans" w:eastAsia="Open Sans"/>
                <w:b w:val="0"/>
                <w:i w:val="0"/>
                <w:color w:val="222222"/>
                <w:sz w:val="17"/>
              </w:rPr>
              <w:t>Cambio de criterio</w:t>
            </w:r>
          </w:p>
        </w:tc>
      </w:tr>
      <w:tr>
        <w:tc>
          <w:tcPr>
            <w:tcW w:type="dxa" w:w="3515"/>
            <w:shd w:val="clear" w:fill="F8F9FA"/>
          </w:tcPr>
          <w:p>
            <w:pPr>
              <w:spacing w:after="20" w:before="20"/>
            </w:pPr>
            <w:r/>
            <w:r>
              <w:rPr>
                <w:rFonts w:ascii="Open Sans" w:hAnsi="Open Sans" w:eastAsia="Open Sans"/>
                <w:b w:val="0"/>
                <w:i w:val="0"/>
                <w:color w:val="222222"/>
                <w:sz w:val="17"/>
              </w:rPr>
              <w:t>Efectividad</w:t>
            </w:r>
          </w:p>
        </w:tc>
        <w:tc>
          <w:tcPr>
            <w:tcW w:type="dxa" w:w="1701"/>
            <w:shd w:val="clear" w:fill="F8F9FA"/>
          </w:tcPr>
          <w:p>
            <w:pPr>
              <w:spacing w:after="20" w:before="20"/>
              <w:jc w:val="right"/>
            </w:pPr>
            <w:r/>
            <w:r>
              <w:rPr>
                <w:rFonts w:ascii="Open Sans" w:hAnsi="Open Sans" w:eastAsia="Open Sans"/>
                <w:b w:val="0"/>
                <w:i w:val="0"/>
                <w:color w:val="222222"/>
                <w:sz w:val="17"/>
              </w:rPr>
              <w:t>32,1%</w:t>
            </w:r>
          </w:p>
        </w:tc>
        <w:tc>
          <w:tcPr>
            <w:tcW w:type="dxa" w:w="1587"/>
            <w:shd w:val="clear" w:fill="F8F9FA"/>
          </w:tcPr>
          <w:p>
            <w:pPr>
              <w:spacing w:after="20" w:before="20"/>
              <w:jc w:val="right"/>
            </w:pPr>
            <w:r/>
            <w:r>
              <w:rPr>
                <w:rFonts w:ascii="Open Sans" w:hAnsi="Open Sans" w:eastAsia="Open Sans"/>
                <w:b w:val="0"/>
                <w:i w:val="0"/>
                <w:color w:val="222222"/>
                <w:sz w:val="17"/>
              </w:rPr>
              <w:t>18,1%</w:t>
            </w:r>
          </w:p>
        </w:tc>
        <w:tc>
          <w:tcPr>
            <w:tcW w:type="dxa" w:w="2381"/>
            <w:shd w:val="clear" w:fill="F8F9FA"/>
          </w:tcPr>
          <w:p>
            <w:pPr>
              <w:spacing w:after="20" w:before="20"/>
            </w:pPr>
            <w:r/>
            <w:r>
              <w:rPr>
                <w:rFonts w:ascii="Open Sans" w:hAnsi="Open Sans" w:eastAsia="Open Sans"/>
                <w:b w:val="0"/>
                <w:i w:val="0"/>
                <w:color w:val="222222"/>
                <w:sz w:val="17"/>
              </w:rPr>
              <w:t>Cambio de criterio</w:t>
            </w:r>
          </w:p>
        </w:tc>
      </w:tr>
    </w:tbl>
    <w:p>
      <w:pPr>
        <w:spacing w:after="60" w:before="0" w:line="264" w:lineRule="auto"/>
      </w:pPr>
    </w:p>
    <w:p>
      <w:pPr>
        <w:spacing w:after="60" w:line="259" w:lineRule="auto"/>
        <w:ind w:left="312"/>
      </w:pPr>
      <w:r>
        <w:rPr>
          <w:rFonts w:ascii="Open Sans" w:hAnsi="Open Sans" w:eastAsia="Open Sans"/>
          <w:b/>
          <w:i w:val="0"/>
          <w:color w:val="007A33"/>
          <w:sz w:val="20"/>
        </w:rPr>
        <w:t xml:space="preserve">▪  </w:t>
      </w:r>
      <w:r>
        <w:rPr>
          <w:rFonts w:ascii="Open Sans" w:hAnsi="Open Sans" w:eastAsia="Open Sans"/>
          <w:b/>
          <w:i w:val="0"/>
          <w:color w:val="1B365D"/>
          <w:sz w:val="19"/>
        </w:rPr>
        <w:t xml:space="preserve">Error de cálculo: </w:t>
      </w:r>
      <w:r>
        <w:rPr>
          <w:rFonts w:ascii="Open Sans" w:hAnsi="Open Sans" w:eastAsia="Open Sans"/>
          <w:b w:val="0"/>
          <w:i w:val="0"/>
          <w:color w:val="222222"/>
          <w:sz w:val="19"/>
        </w:rPr>
        <w:t>de las 61.767 gestiones reportadas, 42.768 las ejecutó el robot CUN DIGITAL, no un asesor. El informe se las atribuía a personas porque el campo que identifica al responsable, al no encontrar quién tipificó, cae al dueño asignado de la cartera. Las gestiones humanas reales fueron 22.941.</w:t>
      </w:r>
    </w:p>
    <w:p>
      <w:pPr>
        <w:spacing w:after="60" w:line="259" w:lineRule="auto"/>
        <w:ind w:left="312"/>
      </w:pPr>
      <w:r>
        <w:rPr>
          <w:rFonts w:ascii="Open Sans" w:hAnsi="Open Sans" w:eastAsia="Open Sans"/>
          <w:b/>
          <w:i w:val="0"/>
          <w:color w:val="007A33"/>
          <w:sz w:val="20"/>
        </w:rPr>
        <w:t xml:space="preserve">▪  </w:t>
      </w:r>
      <w:r>
        <w:rPr>
          <w:rFonts w:ascii="Open Sans" w:hAnsi="Open Sans" w:eastAsia="Open Sans"/>
          <w:b/>
          <w:i w:val="0"/>
          <w:color w:val="1B365D"/>
          <w:sz w:val="19"/>
        </w:rPr>
        <w:t xml:space="preserve">Cambio de criterio: </w:t>
      </w:r>
      <w:r>
        <w:rPr>
          <w:rFonts w:ascii="Open Sans" w:hAnsi="Open Sans" w:eastAsia="Open Sans"/>
          <w:b w:val="0"/>
          <w:i w:val="0"/>
          <w:color w:val="222222"/>
          <w:sz w:val="19"/>
        </w:rPr>
        <w:t>el recaudo ya no cuenta cualquier pago de cartera asignada. Ahora exige que la persona haya sido gestionada y que el pago sea posterior a la primera gestión. De los $5.483,9 millones publicados, $1.849,5 eran de personas que nadie gestionó y $1.292,4 correspondían a pagos anteriores a que el asesor tocara el caso. La cifra defendible es $2.408,8 millones.</w:t>
      </w:r>
    </w:p>
    <w:p>
      <w:pPr>
        <w:spacing w:after="60" w:line="259" w:lineRule="auto"/>
        <w:ind w:left="312"/>
      </w:pPr>
      <w:r>
        <w:rPr>
          <w:rFonts w:ascii="Open Sans" w:hAnsi="Open Sans" w:eastAsia="Open Sans"/>
          <w:b/>
          <w:i w:val="0"/>
          <w:color w:val="007A33"/>
          <w:sz w:val="20"/>
        </w:rPr>
        <w:t xml:space="preserve">▪  </w:t>
      </w:r>
      <w:r>
        <w:rPr>
          <w:rFonts w:ascii="Open Sans" w:hAnsi="Open Sans" w:eastAsia="Open Sans"/>
          <w:b/>
          <w:i w:val="0"/>
          <w:color w:val="1B365D"/>
          <w:sz w:val="19"/>
        </w:rPr>
        <w:t xml:space="preserve">Lo que NO empeoró: </w:t>
      </w:r>
      <w:r>
        <w:rPr>
          <w:rFonts w:ascii="Open Sans" w:hAnsi="Open Sans" w:eastAsia="Open Sans"/>
          <w:b w:val="0"/>
          <w:i w:val="0"/>
          <w:color w:val="222222"/>
          <w:sz w:val="19"/>
        </w:rPr>
        <w:t>bajo el criterio anterior siguen siendo 5.974 personas y 32,3% de efectividad, prácticamente lo publicado. La caída a 18,1% no es un desplome del equipo: es el efecto de exigir que el pago venga después de la gestión.</w:t>
      </w:r>
    </w:p>
    <w:p>
      <w:pPr>
        <w:spacing w:before="140" w:after="60"/>
      </w:pPr>
      <w:r>
        <w:rPr>
          <w:rFonts w:ascii="Montserrat" w:hAnsi="Montserrat" w:eastAsia="Montserrat"/>
          <w:b/>
          <w:i w:val="0"/>
          <w:color w:val="0C2340"/>
          <w:sz w:val="25"/>
        </w:rPr>
        <w:t>2.  Cumplimiento de la meta</w:t>
      </w:r>
    </w:p>
    <w:tbl>
      <w:tblPr>
        <w:tblW w:type="auto" w:w="0"/>
        <w:jc w:val="center"/>
        <w:tblLook w:firstColumn="1" w:firstRow="1" w:lastColumn="0" w:lastRow="0" w:noHBand="0" w:noVBand="1" w:val="04A0"/>
      </w:tblPr>
      <w:tblGrid>
        <w:gridCol w:w="2465"/>
        <w:gridCol w:w="2465"/>
        <w:gridCol w:w="2465"/>
        <w:gridCol w:w="2465"/>
      </w:tblGrid>
      <w:tr>
        <w:tc>
          <w:tcPr>
            <w:tcW w:type="dxa" w:w="2465"/>
          </w:tcPr>
          <w:p>
            <w:pPr>
              <w:spacing w:after="20" w:before="20"/>
              <w:jc w:val="center"/>
            </w:pPr>
            <w:r/>
            <w:r>
              <w:rPr>
                <w:rFonts w:ascii="Montserrat" w:hAnsi="Montserrat" w:eastAsia="Montserrat"/>
                <w:b/>
                <w:i w:val="0"/>
                <w:color w:val="00859B"/>
                <w:sz w:val="30"/>
              </w:rPr>
              <w:t>9.289</w:t>
            </w:r>
          </w:p>
        </w:tc>
        <w:tc>
          <w:tcPr>
            <w:tcW w:type="dxa" w:w="2465"/>
          </w:tcPr>
          <w:p>
            <w:pPr>
              <w:spacing w:after="20" w:before="20"/>
              <w:jc w:val="center"/>
            </w:pPr>
            <w:r/>
            <w:r>
              <w:rPr>
                <w:rFonts w:ascii="Montserrat" w:hAnsi="Montserrat" w:eastAsia="Montserrat"/>
                <w:b/>
                <w:i w:val="0"/>
                <w:color w:val="00859B"/>
                <w:sz w:val="30"/>
              </w:rPr>
              <w:t>6.248</w:t>
            </w:r>
          </w:p>
        </w:tc>
        <w:tc>
          <w:tcPr>
            <w:tcW w:type="dxa" w:w="2465"/>
          </w:tcPr>
          <w:p>
            <w:pPr>
              <w:spacing w:after="20" w:before="20"/>
              <w:jc w:val="center"/>
            </w:pPr>
            <w:r/>
            <w:r>
              <w:rPr>
                <w:rFonts w:ascii="Montserrat" w:hAnsi="Montserrat" w:eastAsia="Montserrat"/>
                <w:b/>
                <w:i w:val="0"/>
                <w:color w:val="00859B"/>
                <w:sz w:val="30"/>
              </w:rPr>
              <w:t>$2.769</w:t>
            </w:r>
          </w:p>
        </w:tc>
        <w:tc>
          <w:tcPr>
            <w:tcW w:type="dxa" w:w="2465"/>
          </w:tcPr>
          <w:p>
            <w:pPr>
              <w:spacing w:after="20" w:before="20"/>
              <w:jc w:val="center"/>
            </w:pPr>
            <w:r/>
            <w:r>
              <w:rPr>
                <w:rFonts w:ascii="Montserrat" w:hAnsi="Montserrat" w:eastAsia="Montserrat"/>
                <w:b/>
                <w:i w:val="0"/>
                <w:color w:val="00859B"/>
                <w:sz w:val="30"/>
              </w:rPr>
              <w:t>18,5%</w:t>
            </w:r>
          </w:p>
        </w:tc>
      </w:tr>
      <w:tr>
        <w:tc>
          <w:tcPr>
            <w:tcW w:type="dxa" w:w="2465"/>
          </w:tcPr>
          <w:p>
            <w:pPr>
              <w:spacing w:after="20" w:before="20"/>
              <w:jc w:val="center"/>
            </w:pPr>
            <w:r/>
            <w:r>
              <w:rPr>
                <w:rFonts w:ascii="Open Sans" w:hAnsi="Open Sans" w:eastAsia="Open Sans"/>
                <w:b w:val="0"/>
                <w:i w:val="0"/>
                <w:color w:val="898D8D"/>
                <w:sz w:val="16"/>
              </w:rPr>
              <w:t>OBLIGACIONES CUMPLIDAS</w:t>
            </w:r>
          </w:p>
        </w:tc>
        <w:tc>
          <w:tcPr>
            <w:tcW w:type="dxa" w:w="2465"/>
          </w:tcPr>
          <w:p>
            <w:pPr>
              <w:spacing w:after="20" w:before="20"/>
              <w:jc w:val="center"/>
            </w:pPr>
            <w:r/>
            <w:r>
              <w:rPr>
                <w:rFonts w:ascii="Open Sans" w:hAnsi="Open Sans" w:eastAsia="Open Sans"/>
                <w:b w:val="0"/>
                <w:i w:val="0"/>
                <w:color w:val="898D8D"/>
                <w:sz w:val="16"/>
              </w:rPr>
              <w:t>ESTUDIANTES</w:t>
            </w:r>
          </w:p>
        </w:tc>
        <w:tc>
          <w:tcPr>
            <w:tcW w:type="dxa" w:w="2465"/>
          </w:tcPr>
          <w:p>
            <w:pPr>
              <w:spacing w:after="20" w:before="20"/>
              <w:jc w:val="center"/>
            </w:pPr>
            <w:r/>
            <w:r>
              <w:rPr>
                <w:rFonts w:ascii="Open Sans" w:hAnsi="Open Sans" w:eastAsia="Open Sans"/>
                <w:b w:val="0"/>
                <w:i w:val="0"/>
                <w:color w:val="898D8D"/>
                <w:sz w:val="16"/>
              </w:rPr>
              <w:t>MILLONES LIBERADOS</w:t>
            </w:r>
          </w:p>
        </w:tc>
        <w:tc>
          <w:tcPr>
            <w:tcW w:type="dxa" w:w="2465"/>
          </w:tcPr>
          <w:p>
            <w:pPr>
              <w:spacing w:after="20" w:before="20"/>
              <w:jc w:val="center"/>
            </w:pPr>
            <w:r/>
            <w:r>
              <w:rPr>
                <w:rFonts w:ascii="Open Sans" w:hAnsi="Open Sans" w:eastAsia="Open Sans"/>
                <w:b w:val="0"/>
                <w:i w:val="0"/>
                <w:color w:val="898D8D"/>
                <w:sz w:val="16"/>
              </w:rPr>
              <w:t>CUMPLIMIENTO</w:t>
            </w:r>
          </w:p>
        </w:tc>
      </w:tr>
    </w:tbl>
    <w:p>
      <w:pPr>
        <w:spacing w:after="80" w:before="120" w:line="264" w:lineRule="auto"/>
      </w:pPr>
      <w:r>
        <w:rPr>
          <w:rFonts w:ascii="Open Sans" w:hAnsi="Open Sans" w:eastAsia="Open Sans"/>
          <w:b w:val="0"/>
          <w:i w:val="0"/>
          <w:color w:val="222222"/>
          <w:sz w:val="20"/>
        </w:rPr>
        <w:t>Estas cifras no cambian respecto de la versión anterior. La meta de agosto se cerró el 1 de septiembre y una obligación se considera cumplida cuando desaparece por completo de la cartera vigente.</w:t>
      </w:r>
    </w:p>
    <w:tbl>
      <w:tblPr>
        <w:tblStyle w:val="TableGrid"/>
        <w:tblW w:type="auto" w:w="0"/>
        <w:jc w:val="center"/>
        <w:tblLook w:firstColumn="1" w:firstRow="1" w:lastColumn="0" w:lastRow="0" w:noHBand="0" w:noVBand="1" w:val="04A0"/>
      </w:tblPr>
      <w:tblGrid>
        <w:gridCol w:w="1972"/>
        <w:gridCol w:w="1972"/>
        <w:gridCol w:w="1972"/>
        <w:gridCol w:w="1972"/>
        <w:gridCol w:w="1972"/>
      </w:tblGrid>
      <w:tr>
        <w:tc>
          <w:tcPr>
            <w:tcW w:type="dxa" w:w="3969"/>
            <w:shd w:val="clear" w:fill="0C2340"/>
          </w:tcPr>
          <w:p>
            <w:pPr>
              <w:spacing w:after="20" w:before="20"/>
            </w:pPr>
            <w:r/>
            <w:r>
              <w:rPr>
                <w:rFonts w:ascii="Montserrat" w:hAnsi="Montserrat" w:eastAsia="Montserrat"/>
                <w:b/>
                <w:i w:val="0"/>
                <w:color w:val="FFFFFF"/>
                <w:sz w:val="17"/>
              </w:rPr>
              <w:t>Concepto</w:t>
            </w:r>
          </w:p>
        </w:tc>
        <w:tc>
          <w:tcPr>
            <w:tcW w:type="dxa" w:w="1417"/>
            <w:shd w:val="clear" w:fill="0C2340"/>
          </w:tcPr>
          <w:p>
            <w:pPr>
              <w:spacing w:after="20" w:before="20"/>
              <w:jc w:val="right"/>
            </w:pPr>
            <w:r/>
            <w:r>
              <w:rPr>
                <w:rFonts w:ascii="Montserrat" w:hAnsi="Montserrat" w:eastAsia="Montserrat"/>
                <w:b/>
                <w:i w:val="0"/>
                <w:color w:val="FFFFFF"/>
                <w:sz w:val="17"/>
              </w:rPr>
              <w:t>Obligaciones</w:t>
            </w:r>
          </w:p>
        </w:tc>
        <w:tc>
          <w:tcPr>
            <w:tcW w:type="dxa" w:w="1361"/>
            <w:shd w:val="clear" w:fill="0C2340"/>
          </w:tcPr>
          <w:p>
            <w:pPr>
              <w:spacing w:after="20" w:before="20"/>
              <w:jc w:val="right"/>
            </w:pPr>
            <w:r/>
            <w:r>
              <w:rPr>
                <w:rFonts w:ascii="Montserrat" w:hAnsi="Montserrat" w:eastAsia="Montserrat"/>
                <w:b/>
                <w:i w:val="0"/>
                <w:color w:val="FFFFFF"/>
                <w:sz w:val="17"/>
              </w:rPr>
              <w:t>Estudiantes</w:t>
            </w:r>
          </w:p>
        </w:tc>
        <w:tc>
          <w:tcPr>
            <w:tcW w:type="dxa" w:w="1417"/>
            <w:shd w:val="clear" w:fill="0C2340"/>
          </w:tcPr>
          <w:p>
            <w:pPr>
              <w:spacing w:after="20" w:before="20"/>
              <w:jc w:val="right"/>
            </w:pPr>
            <w:r/>
            <w:r>
              <w:rPr>
                <w:rFonts w:ascii="Montserrat" w:hAnsi="Montserrat" w:eastAsia="Montserrat"/>
                <w:b/>
                <w:i w:val="0"/>
                <w:color w:val="FFFFFF"/>
                <w:sz w:val="17"/>
              </w:rPr>
              <w:t>Saldo ($ MM)</w:t>
            </w:r>
          </w:p>
        </w:tc>
        <w:tc>
          <w:tcPr>
            <w:tcW w:type="dxa" w:w="1134"/>
            <w:shd w:val="clear" w:fill="0C2340"/>
          </w:tcPr>
          <w:p>
            <w:pPr>
              <w:spacing w:after="20" w:before="20"/>
              <w:jc w:val="right"/>
            </w:pPr>
            <w:r/>
            <w:r>
              <w:rPr>
                <w:rFonts w:ascii="Montserrat" w:hAnsi="Montserrat" w:eastAsia="Montserrat"/>
                <w:b/>
                <w:i w:val="0"/>
                <w:color w:val="FFFFFF"/>
                <w:sz w:val="17"/>
              </w:rPr>
              <w:t>% total</w:t>
            </w:r>
          </w:p>
        </w:tc>
      </w:tr>
      <w:tr>
        <w:tc>
          <w:tcPr>
            <w:tcW w:type="dxa" w:w="3969"/>
          </w:tcPr>
          <w:p>
            <w:pPr>
              <w:spacing w:after="20" w:before="20"/>
            </w:pPr>
            <w:r/>
            <w:r>
              <w:rPr>
                <w:rFonts w:ascii="Open Sans" w:hAnsi="Open Sans" w:eastAsia="Open Sans"/>
                <w:b w:val="0"/>
                <w:i w:val="0"/>
                <w:color w:val="222222"/>
                <w:sz w:val="17"/>
              </w:rPr>
              <w:t>Universo con que arrancó agosto</w:t>
            </w:r>
          </w:p>
        </w:tc>
        <w:tc>
          <w:tcPr>
            <w:tcW w:type="dxa" w:w="1417"/>
          </w:tcPr>
          <w:p>
            <w:pPr>
              <w:spacing w:after="20" w:before="20"/>
              <w:jc w:val="right"/>
            </w:pPr>
            <w:r/>
            <w:r>
              <w:rPr>
                <w:rFonts w:ascii="Open Sans" w:hAnsi="Open Sans" w:eastAsia="Open Sans"/>
                <w:b w:val="0"/>
                <w:i w:val="0"/>
                <w:color w:val="222222"/>
                <w:sz w:val="17"/>
              </w:rPr>
              <w:t>50.146</w:t>
            </w:r>
          </w:p>
        </w:tc>
        <w:tc>
          <w:tcPr>
            <w:tcW w:type="dxa" w:w="1361"/>
          </w:tcPr>
          <w:p>
            <w:pPr>
              <w:spacing w:after="20" w:before="20"/>
              <w:jc w:val="right"/>
            </w:pPr>
            <w:r/>
            <w:r>
              <w:rPr>
                <w:rFonts w:ascii="Open Sans" w:hAnsi="Open Sans" w:eastAsia="Open Sans"/>
                <w:b w:val="0"/>
                <w:i w:val="0"/>
                <w:color w:val="222222"/>
                <w:sz w:val="17"/>
              </w:rPr>
              <w:t>20.748</w:t>
            </w:r>
          </w:p>
        </w:tc>
        <w:tc>
          <w:tcPr>
            <w:tcW w:type="dxa" w:w="1417"/>
          </w:tcPr>
          <w:p>
            <w:pPr>
              <w:spacing w:after="20" w:before="20"/>
              <w:jc w:val="right"/>
            </w:pPr>
            <w:r/>
            <w:r>
              <w:rPr>
                <w:rFonts w:ascii="Open Sans" w:hAnsi="Open Sans" w:eastAsia="Open Sans"/>
                <w:b w:val="0"/>
                <w:i w:val="0"/>
                <w:color w:val="222222"/>
                <w:sz w:val="17"/>
              </w:rPr>
              <w:t>15.198,0</w:t>
            </w:r>
          </w:p>
        </w:tc>
        <w:tc>
          <w:tcPr>
            <w:tcW w:type="dxa" w:w="1134"/>
          </w:tcPr>
          <w:p>
            <w:pPr>
              <w:spacing w:after="20" w:before="20"/>
              <w:jc w:val="right"/>
            </w:pPr>
            <w:r/>
            <w:r>
              <w:rPr>
                <w:rFonts w:ascii="Open Sans" w:hAnsi="Open Sans" w:eastAsia="Open Sans"/>
                <w:b w:val="0"/>
                <w:i w:val="0"/>
                <w:color w:val="222222"/>
                <w:sz w:val="17"/>
              </w:rPr>
              <w:t>100,0%</w:t>
            </w:r>
          </w:p>
        </w:tc>
      </w:tr>
      <w:tr>
        <w:tc>
          <w:tcPr>
            <w:tcW w:type="dxa" w:w="3969"/>
            <w:shd w:val="clear" w:fill="F8F9FA"/>
          </w:tcPr>
          <w:p>
            <w:pPr>
              <w:spacing w:after="20" w:before="20"/>
            </w:pPr>
            <w:r/>
            <w:r>
              <w:rPr>
                <w:rFonts w:ascii="Open Sans" w:hAnsi="Open Sans" w:eastAsia="Open Sans"/>
                <w:b w:val="0"/>
                <w:i w:val="0"/>
                <w:color w:val="222222"/>
                <w:sz w:val="17"/>
              </w:rPr>
              <w:t>Salieron por pago o normalización</w:t>
            </w:r>
          </w:p>
        </w:tc>
        <w:tc>
          <w:tcPr>
            <w:tcW w:type="dxa" w:w="1417"/>
            <w:shd w:val="clear" w:fill="F8F9FA"/>
          </w:tcPr>
          <w:p>
            <w:pPr>
              <w:spacing w:after="20" w:before="20"/>
              <w:jc w:val="right"/>
            </w:pPr>
            <w:r/>
            <w:r>
              <w:rPr>
                <w:rFonts w:ascii="Open Sans" w:hAnsi="Open Sans" w:eastAsia="Open Sans"/>
                <w:b w:val="0"/>
                <w:i w:val="0"/>
                <w:color w:val="222222"/>
                <w:sz w:val="17"/>
              </w:rPr>
              <w:t>9.289</w:t>
            </w:r>
          </w:p>
        </w:tc>
        <w:tc>
          <w:tcPr>
            <w:tcW w:type="dxa" w:w="1361"/>
            <w:shd w:val="clear" w:fill="F8F9FA"/>
          </w:tcPr>
          <w:p>
            <w:pPr>
              <w:spacing w:after="20" w:before="20"/>
              <w:jc w:val="right"/>
            </w:pPr>
            <w:r/>
            <w:r>
              <w:rPr>
                <w:rFonts w:ascii="Open Sans" w:hAnsi="Open Sans" w:eastAsia="Open Sans"/>
                <w:b w:val="0"/>
                <w:i w:val="0"/>
                <w:color w:val="222222"/>
                <w:sz w:val="17"/>
              </w:rPr>
              <w:t>6.248</w:t>
            </w:r>
          </w:p>
        </w:tc>
        <w:tc>
          <w:tcPr>
            <w:tcW w:type="dxa" w:w="1417"/>
            <w:shd w:val="clear" w:fill="F8F9FA"/>
          </w:tcPr>
          <w:p>
            <w:pPr>
              <w:spacing w:after="20" w:before="20"/>
              <w:jc w:val="right"/>
            </w:pPr>
            <w:r/>
            <w:r>
              <w:rPr>
                <w:rFonts w:ascii="Open Sans" w:hAnsi="Open Sans" w:eastAsia="Open Sans"/>
                <w:b w:val="0"/>
                <w:i w:val="0"/>
                <w:color w:val="222222"/>
                <w:sz w:val="17"/>
              </w:rPr>
              <w:t>2.769,5</w:t>
            </w:r>
          </w:p>
        </w:tc>
        <w:tc>
          <w:tcPr>
            <w:tcW w:type="dxa" w:w="1134"/>
            <w:shd w:val="clear" w:fill="F8F9FA"/>
          </w:tcPr>
          <w:p>
            <w:pPr>
              <w:spacing w:after="20" w:before="20"/>
              <w:jc w:val="right"/>
            </w:pPr>
            <w:r/>
            <w:r>
              <w:rPr>
                <w:rFonts w:ascii="Open Sans" w:hAnsi="Open Sans" w:eastAsia="Open Sans"/>
                <w:b w:val="0"/>
                <w:i w:val="0"/>
                <w:color w:val="222222"/>
                <w:sz w:val="17"/>
              </w:rPr>
              <w:t>18,5%</w:t>
            </w:r>
          </w:p>
        </w:tc>
      </w:tr>
      <w:tr>
        <w:tc>
          <w:tcPr>
            <w:tcW w:type="dxa" w:w="3969"/>
          </w:tcPr>
          <w:p>
            <w:pPr>
              <w:spacing w:after="20" w:before="20"/>
            </w:pPr>
            <w:r/>
            <w:r>
              <w:rPr>
                <w:rFonts w:ascii="Open Sans" w:hAnsi="Open Sans" w:eastAsia="Open Sans"/>
                <w:b w:val="0"/>
                <w:i w:val="0"/>
                <w:color w:val="222222"/>
                <w:sz w:val="17"/>
              </w:rPr>
              <w:t>Continúan en la meta de septiembre</w:t>
            </w:r>
          </w:p>
        </w:tc>
        <w:tc>
          <w:tcPr>
            <w:tcW w:type="dxa" w:w="1417"/>
          </w:tcPr>
          <w:p>
            <w:pPr>
              <w:spacing w:after="20" w:before="20"/>
              <w:jc w:val="right"/>
            </w:pPr>
            <w:r/>
            <w:r>
              <w:rPr>
                <w:rFonts w:ascii="Open Sans" w:hAnsi="Open Sans" w:eastAsia="Open Sans"/>
                <w:b w:val="0"/>
                <w:i w:val="0"/>
                <w:color w:val="222222"/>
                <w:sz w:val="17"/>
              </w:rPr>
              <w:t>40.857</w:t>
            </w:r>
          </w:p>
        </w:tc>
        <w:tc>
          <w:tcPr>
            <w:tcW w:type="dxa" w:w="1361"/>
          </w:tcPr>
          <w:p>
            <w:pPr>
              <w:spacing w:after="20" w:before="20"/>
              <w:jc w:val="right"/>
            </w:pPr>
            <w:r/>
            <w:r>
              <w:rPr>
                <w:rFonts w:ascii="Open Sans" w:hAnsi="Open Sans" w:eastAsia="Open Sans"/>
                <w:b w:val="0"/>
                <w:i w:val="0"/>
                <w:color w:val="222222"/>
                <w:sz w:val="17"/>
              </w:rPr>
              <w:t>15.005</w:t>
            </w:r>
          </w:p>
        </w:tc>
        <w:tc>
          <w:tcPr>
            <w:tcW w:type="dxa" w:w="1417"/>
          </w:tcPr>
          <w:p>
            <w:pPr>
              <w:spacing w:after="20" w:before="20"/>
              <w:jc w:val="right"/>
            </w:pPr>
            <w:r/>
            <w:r>
              <w:rPr>
                <w:rFonts w:ascii="Open Sans" w:hAnsi="Open Sans" w:eastAsia="Open Sans"/>
                <w:b w:val="0"/>
                <w:i w:val="0"/>
                <w:color w:val="222222"/>
                <w:sz w:val="17"/>
              </w:rPr>
              <w:t>12.428,5</w:t>
            </w:r>
          </w:p>
        </w:tc>
        <w:tc>
          <w:tcPr>
            <w:tcW w:type="dxa" w:w="1134"/>
          </w:tcPr>
          <w:p>
            <w:pPr>
              <w:spacing w:after="20" w:before="20"/>
              <w:jc w:val="right"/>
            </w:pPr>
            <w:r/>
            <w:r>
              <w:rPr>
                <w:rFonts w:ascii="Open Sans" w:hAnsi="Open Sans" w:eastAsia="Open Sans"/>
                <w:b w:val="0"/>
                <w:i w:val="0"/>
                <w:color w:val="222222"/>
                <w:sz w:val="17"/>
              </w:rPr>
              <w:t>81,5%</w:t>
            </w:r>
          </w:p>
        </w:tc>
      </w:tr>
    </w:tbl>
    <w:p>
      <w:r>
        <w:br w:type="page"/>
      </w:r>
    </w:p>
    <w:p>
      <w:pPr>
        <w:spacing w:before="140" w:after="60"/>
      </w:pPr>
      <w:r>
        <w:rPr>
          <w:rFonts w:ascii="Montserrat" w:hAnsi="Montserrat" w:eastAsia="Montserrat"/>
          <w:b/>
          <w:i w:val="0"/>
          <w:color w:val="0C2340"/>
          <w:sz w:val="25"/>
        </w:rPr>
        <w:t>3.  Cumplimiento por cuartil y perfil académico</w:t>
      </w:r>
    </w:p>
    <w:p>
      <w:pPr>
        <w:spacing w:after="80" w:before="0" w:line="264" w:lineRule="auto"/>
      </w:pPr>
      <w:r>
        <w:rPr>
          <w:rFonts w:ascii="Open Sans" w:hAnsi="Open Sans" w:eastAsia="Open Sans"/>
          <w:b w:val="0"/>
          <w:i w:val="0"/>
          <w:color w:val="222222"/>
          <w:sz w:val="20"/>
        </w:rPr>
        <w:t>Los cuartiles se leen de la fotografía del cierre de agosto, no de la cartera de hoy: el proceso mensual recalcula la asignación Q en cada corrida y compararla contra la actual mezclaría dos criterios distintos.</w:t>
      </w:r>
    </w:p>
    <w:tbl>
      <w:tblPr>
        <w:tblStyle w:val="TableGrid"/>
        <w:tblW w:type="auto" w:w="0"/>
        <w:jc w:val="center"/>
        <w:tblLook w:firstColumn="1" w:firstRow="1" w:lastColumn="0" w:lastRow="0" w:noHBand="0" w:noVBand="1" w:val="04A0"/>
      </w:tblPr>
      <w:tblGrid>
        <w:gridCol w:w="1972"/>
        <w:gridCol w:w="1972"/>
        <w:gridCol w:w="1972"/>
        <w:gridCol w:w="1972"/>
        <w:gridCol w:w="1972"/>
      </w:tblGrid>
      <w:tr>
        <w:tc>
          <w:tcPr>
            <w:tcW w:type="dxa" w:w="3175"/>
            <w:shd w:val="clear" w:fill="0C2340"/>
          </w:tcPr>
          <w:p>
            <w:pPr>
              <w:spacing w:after="20" w:before="20"/>
            </w:pPr>
            <w:r/>
            <w:r>
              <w:rPr>
                <w:rFonts w:ascii="Montserrat" w:hAnsi="Montserrat" w:eastAsia="Montserrat"/>
                <w:b/>
                <w:i w:val="0"/>
                <w:color w:val="FFFFFF"/>
                <w:sz w:val="17"/>
              </w:rPr>
              <w:t>Cuartil</w:t>
            </w:r>
          </w:p>
        </w:tc>
        <w:tc>
          <w:tcPr>
            <w:tcW w:type="dxa" w:w="1531"/>
            <w:shd w:val="clear" w:fill="0C2340"/>
          </w:tcPr>
          <w:p>
            <w:pPr>
              <w:spacing w:after="20" w:before="20"/>
              <w:jc w:val="right"/>
            </w:pPr>
            <w:r/>
            <w:r>
              <w:rPr>
                <w:rFonts w:ascii="Montserrat" w:hAnsi="Montserrat" w:eastAsia="Montserrat"/>
                <w:b/>
                <w:i w:val="0"/>
                <w:color w:val="FFFFFF"/>
                <w:sz w:val="17"/>
              </w:rPr>
              <w:t>Obligaciones</w:t>
            </w:r>
          </w:p>
        </w:tc>
        <w:tc>
          <w:tcPr>
            <w:tcW w:type="dxa" w:w="1531"/>
            <w:shd w:val="clear" w:fill="0C2340"/>
          </w:tcPr>
          <w:p>
            <w:pPr>
              <w:spacing w:after="20" w:before="20"/>
              <w:jc w:val="right"/>
            </w:pPr>
            <w:r/>
            <w:r>
              <w:rPr>
                <w:rFonts w:ascii="Montserrat" w:hAnsi="Montserrat" w:eastAsia="Montserrat"/>
                <w:b/>
                <w:i w:val="0"/>
                <w:color w:val="FFFFFF"/>
                <w:sz w:val="17"/>
              </w:rPr>
              <w:t>Saldo ($ MM)</w:t>
            </w:r>
          </w:p>
        </w:tc>
        <w:tc>
          <w:tcPr>
            <w:tcW w:type="dxa" w:w="1361"/>
            <w:shd w:val="clear" w:fill="0C2340"/>
          </w:tcPr>
          <w:p>
            <w:pPr>
              <w:spacing w:after="20" w:before="20"/>
              <w:jc w:val="right"/>
            </w:pPr>
            <w:r/>
            <w:r>
              <w:rPr>
                <w:rFonts w:ascii="Montserrat" w:hAnsi="Montserrat" w:eastAsia="Montserrat"/>
                <w:b/>
                <w:i w:val="0"/>
                <w:color w:val="FFFFFF"/>
                <w:sz w:val="17"/>
              </w:rPr>
              <w:t>Salieron</w:t>
            </w:r>
          </w:p>
        </w:tc>
        <w:tc>
          <w:tcPr>
            <w:tcW w:type="dxa" w:w="1701"/>
            <w:shd w:val="clear" w:fill="0C2340"/>
          </w:tcPr>
          <w:p>
            <w:pPr>
              <w:spacing w:after="20" w:before="20"/>
              <w:jc w:val="right"/>
            </w:pPr>
            <w:r/>
            <w:r>
              <w:rPr>
                <w:rFonts w:ascii="Montserrat" w:hAnsi="Montserrat" w:eastAsia="Montserrat"/>
                <w:b/>
                <w:i w:val="0"/>
                <w:color w:val="FFFFFF"/>
                <w:sz w:val="17"/>
              </w:rPr>
              <w:t>% cumpl.</w:t>
            </w:r>
          </w:p>
        </w:tc>
      </w:tr>
      <w:tr>
        <w:tc>
          <w:tcPr>
            <w:tcW w:type="dxa" w:w="3175"/>
          </w:tcPr>
          <w:p>
            <w:pPr>
              <w:spacing w:after="20" w:before="20"/>
            </w:pPr>
            <w:r/>
            <w:r>
              <w:rPr>
                <w:rFonts w:ascii="Open Sans" w:hAnsi="Open Sans" w:eastAsia="Open Sans"/>
                <w:b w:val="0"/>
                <w:i w:val="0"/>
                <w:color w:val="222222"/>
                <w:sz w:val="17"/>
              </w:rPr>
              <w:t>Q1 — mayor antigüedad</w:t>
            </w:r>
          </w:p>
        </w:tc>
        <w:tc>
          <w:tcPr>
            <w:tcW w:type="dxa" w:w="1531"/>
          </w:tcPr>
          <w:p>
            <w:pPr>
              <w:spacing w:after="20" w:before="20"/>
              <w:jc w:val="right"/>
            </w:pPr>
            <w:r/>
            <w:r>
              <w:rPr>
                <w:rFonts w:ascii="Open Sans" w:hAnsi="Open Sans" w:eastAsia="Open Sans"/>
                <w:b w:val="0"/>
                <w:i w:val="0"/>
                <w:color w:val="222222"/>
                <w:sz w:val="17"/>
              </w:rPr>
              <w:t>7.007</w:t>
            </w:r>
          </w:p>
        </w:tc>
        <w:tc>
          <w:tcPr>
            <w:tcW w:type="dxa" w:w="1531"/>
          </w:tcPr>
          <w:p>
            <w:pPr>
              <w:spacing w:after="20" w:before="20"/>
              <w:jc w:val="right"/>
            </w:pPr>
            <w:r/>
            <w:r>
              <w:rPr>
                <w:rFonts w:ascii="Open Sans" w:hAnsi="Open Sans" w:eastAsia="Open Sans"/>
                <w:b w:val="0"/>
                <w:i w:val="0"/>
                <w:color w:val="222222"/>
                <w:sz w:val="17"/>
              </w:rPr>
              <w:t>2.436,7</w:t>
            </w:r>
          </w:p>
        </w:tc>
        <w:tc>
          <w:tcPr>
            <w:tcW w:type="dxa" w:w="1361"/>
          </w:tcPr>
          <w:p>
            <w:pPr>
              <w:spacing w:after="20" w:before="20"/>
              <w:jc w:val="right"/>
            </w:pPr>
            <w:r/>
            <w:r>
              <w:rPr>
                <w:rFonts w:ascii="Open Sans" w:hAnsi="Open Sans" w:eastAsia="Open Sans"/>
                <w:b w:val="0"/>
                <w:i w:val="0"/>
                <w:color w:val="222222"/>
                <w:sz w:val="17"/>
              </w:rPr>
              <w:t>515</w:t>
            </w:r>
          </w:p>
        </w:tc>
        <w:tc>
          <w:tcPr>
            <w:tcW w:type="dxa" w:w="1701"/>
          </w:tcPr>
          <w:p>
            <w:pPr>
              <w:spacing w:after="20" w:before="20"/>
              <w:jc w:val="right"/>
            </w:pPr>
            <w:r/>
            <w:r>
              <w:rPr>
                <w:rFonts w:ascii="Open Sans" w:hAnsi="Open Sans" w:eastAsia="Open Sans"/>
                <w:b w:val="0"/>
                <w:i w:val="0"/>
                <w:color w:val="222222"/>
                <w:sz w:val="17"/>
              </w:rPr>
              <w:t>7,4%</w:t>
            </w:r>
          </w:p>
        </w:tc>
      </w:tr>
      <w:tr>
        <w:tc>
          <w:tcPr>
            <w:tcW w:type="dxa" w:w="3175"/>
            <w:shd w:val="clear" w:fill="F8F9FA"/>
          </w:tcPr>
          <w:p>
            <w:pPr>
              <w:spacing w:after="20" w:before="20"/>
            </w:pPr>
            <w:r/>
            <w:r>
              <w:rPr>
                <w:rFonts w:ascii="Open Sans" w:hAnsi="Open Sans" w:eastAsia="Open Sans"/>
                <w:b w:val="0"/>
                <w:i w:val="0"/>
                <w:color w:val="222222"/>
                <w:sz w:val="17"/>
              </w:rPr>
              <w:t>Q2</w:t>
            </w:r>
          </w:p>
        </w:tc>
        <w:tc>
          <w:tcPr>
            <w:tcW w:type="dxa" w:w="1531"/>
            <w:shd w:val="clear" w:fill="F8F9FA"/>
          </w:tcPr>
          <w:p>
            <w:pPr>
              <w:spacing w:after="20" w:before="20"/>
              <w:jc w:val="right"/>
            </w:pPr>
            <w:r/>
            <w:r>
              <w:rPr>
                <w:rFonts w:ascii="Open Sans" w:hAnsi="Open Sans" w:eastAsia="Open Sans"/>
                <w:b w:val="0"/>
                <w:i w:val="0"/>
                <w:color w:val="222222"/>
                <w:sz w:val="17"/>
              </w:rPr>
              <w:t>7.565</w:t>
            </w:r>
          </w:p>
        </w:tc>
        <w:tc>
          <w:tcPr>
            <w:tcW w:type="dxa" w:w="1531"/>
            <w:shd w:val="clear" w:fill="F8F9FA"/>
          </w:tcPr>
          <w:p>
            <w:pPr>
              <w:spacing w:after="20" w:before="20"/>
              <w:jc w:val="right"/>
            </w:pPr>
            <w:r/>
            <w:r>
              <w:rPr>
                <w:rFonts w:ascii="Open Sans" w:hAnsi="Open Sans" w:eastAsia="Open Sans"/>
                <w:b w:val="0"/>
                <w:i w:val="0"/>
                <w:color w:val="222222"/>
                <w:sz w:val="17"/>
              </w:rPr>
              <w:t>2.460,9</w:t>
            </w:r>
          </w:p>
        </w:tc>
        <w:tc>
          <w:tcPr>
            <w:tcW w:type="dxa" w:w="1361"/>
            <w:shd w:val="clear" w:fill="F8F9FA"/>
          </w:tcPr>
          <w:p>
            <w:pPr>
              <w:spacing w:after="20" w:before="20"/>
              <w:jc w:val="right"/>
            </w:pPr>
            <w:r/>
            <w:r>
              <w:rPr>
                <w:rFonts w:ascii="Open Sans" w:hAnsi="Open Sans" w:eastAsia="Open Sans"/>
                <w:b w:val="0"/>
                <w:i w:val="0"/>
                <w:color w:val="222222"/>
                <w:sz w:val="17"/>
              </w:rPr>
              <w:t>725</w:t>
            </w:r>
          </w:p>
        </w:tc>
        <w:tc>
          <w:tcPr>
            <w:tcW w:type="dxa" w:w="1701"/>
            <w:shd w:val="clear" w:fill="F8F9FA"/>
          </w:tcPr>
          <w:p>
            <w:pPr>
              <w:spacing w:after="20" w:before="20"/>
              <w:jc w:val="right"/>
            </w:pPr>
            <w:r/>
            <w:r>
              <w:rPr>
                <w:rFonts w:ascii="Open Sans" w:hAnsi="Open Sans" w:eastAsia="Open Sans"/>
                <w:b w:val="0"/>
                <w:i w:val="0"/>
                <w:color w:val="222222"/>
                <w:sz w:val="17"/>
              </w:rPr>
              <w:t>9,6%</w:t>
            </w:r>
          </w:p>
        </w:tc>
      </w:tr>
      <w:tr>
        <w:tc>
          <w:tcPr>
            <w:tcW w:type="dxa" w:w="3175"/>
          </w:tcPr>
          <w:p>
            <w:pPr>
              <w:spacing w:after="20" w:before="20"/>
            </w:pPr>
            <w:r/>
            <w:r>
              <w:rPr>
                <w:rFonts w:ascii="Open Sans" w:hAnsi="Open Sans" w:eastAsia="Open Sans"/>
                <w:b w:val="0"/>
                <w:i w:val="0"/>
                <w:color w:val="222222"/>
                <w:sz w:val="17"/>
              </w:rPr>
              <w:t>Q3</w:t>
            </w:r>
          </w:p>
        </w:tc>
        <w:tc>
          <w:tcPr>
            <w:tcW w:type="dxa" w:w="1531"/>
          </w:tcPr>
          <w:p>
            <w:pPr>
              <w:spacing w:after="20" w:before="20"/>
              <w:jc w:val="right"/>
            </w:pPr>
            <w:r/>
            <w:r>
              <w:rPr>
                <w:rFonts w:ascii="Open Sans" w:hAnsi="Open Sans" w:eastAsia="Open Sans"/>
                <w:b w:val="0"/>
                <w:i w:val="0"/>
                <w:color w:val="222222"/>
                <w:sz w:val="17"/>
              </w:rPr>
              <w:t>6.955</w:t>
            </w:r>
          </w:p>
        </w:tc>
        <w:tc>
          <w:tcPr>
            <w:tcW w:type="dxa" w:w="1531"/>
          </w:tcPr>
          <w:p>
            <w:pPr>
              <w:spacing w:after="20" w:before="20"/>
              <w:jc w:val="right"/>
            </w:pPr>
            <w:r/>
            <w:r>
              <w:rPr>
                <w:rFonts w:ascii="Open Sans" w:hAnsi="Open Sans" w:eastAsia="Open Sans"/>
                <w:b w:val="0"/>
                <w:i w:val="0"/>
                <w:color w:val="222222"/>
                <w:sz w:val="17"/>
              </w:rPr>
              <w:t>2.257,8</w:t>
            </w:r>
          </w:p>
        </w:tc>
        <w:tc>
          <w:tcPr>
            <w:tcW w:type="dxa" w:w="1361"/>
          </w:tcPr>
          <w:p>
            <w:pPr>
              <w:spacing w:after="20" w:before="20"/>
              <w:jc w:val="right"/>
            </w:pPr>
            <w:r/>
            <w:r>
              <w:rPr>
                <w:rFonts w:ascii="Open Sans" w:hAnsi="Open Sans" w:eastAsia="Open Sans"/>
                <w:b w:val="0"/>
                <w:i w:val="0"/>
                <w:color w:val="222222"/>
                <w:sz w:val="17"/>
              </w:rPr>
              <w:t>777</w:t>
            </w:r>
          </w:p>
        </w:tc>
        <w:tc>
          <w:tcPr>
            <w:tcW w:type="dxa" w:w="1701"/>
          </w:tcPr>
          <w:p>
            <w:pPr>
              <w:spacing w:after="20" w:before="20"/>
              <w:jc w:val="right"/>
            </w:pPr>
            <w:r/>
            <w:r>
              <w:rPr>
                <w:rFonts w:ascii="Open Sans" w:hAnsi="Open Sans" w:eastAsia="Open Sans"/>
                <w:b w:val="0"/>
                <w:i w:val="0"/>
                <w:color w:val="222222"/>
                <w:sz w:val="17"/>
              </w:rPr>
              <w:t>11,2%</w:t>
            </w:r>
          </w:p>
        </w:tc>
      </w:tr>
      <w:tr>
        <w:tc>
          <w:tcPr>
            <w:tcW w:type="dxa" w:w="3175"/>
            <w:shd w:val="clear" w:fill="F8F9FA"/>
          </w:tcPr>
          <w:p>
            <w:pPr>
              <w:spacing w:after="20" w:before="20"/>
            </w:pPr>
            <w:r/>
            <w:r>
              <w:rPr>
                <w:rFonts w:ascii="Open Sans" w:hAnsi="Open Sans" w:eastAsia="Open Sans"/>
                <w:b w:val="0"/>
                <w:i w:val="0"/>
                <w:color w:val="222222"/>
                <w:sz w:val="17"/>
              </w:rPr>
              <w:t>Q4 — vencimiento reciente</w:t>
            </w:r>
          </w:p>
        </w:tc>
        <w:tc>
          <w:tcPr>
            <w:tcW w:type="dxa" w:w="1531"/>
            <w:shd w:val="clear" w:fill="F8F9FA"/>
          </w:tcPr>
          <w:p>
            <w:pPr>
              <w:spacing w:after="20" w:before="20"/>
              <w:jc w:val="right"/>
            </w:pPr>
            <w:r/>
            <w:r>
              <w:rPr>
                <w:rFonts w:ascii="Open Sans" w:hAnsi="Open Sans" w:eastAsia="Open Sans"/>
                <w:b w:val="0"/>
                <w:i w:val="0"/>
                <w:color w:val="222222"/>
                <w:sz w:val="17"/>
              </w:rPr>
              <w:t>28.619</w:t>
            </w:r>
          </w:p>
        </w:tc>
        <w:tc>
          <w:tcPr>
            <w:tcW w:type="dxa" w:w="1531"/>
            <w:shd w:val="clear" w:fill="F8F9FA"/>
          </w:tcPr>
          <w:p>
            <w:pPr>
              <w:spacing w:after="20" w:before="20"/>
              <w:jc w:val="right"/>
            </w:pPr>
            <w:r/>
            <w:r>
              <w:rPr>
                <w:rFonts w:ascii="Open Sans" w:hAnsi="Open Sans" w:eastAsia="Open Sans"/>
                <w:b w:val="0"/>
                <w:i w:val="0"/>
                <w:color w:val="222222"/>
                <w:sz w:val="17"/>
              </w:rPr>
              <w:t>8.042,5</w:t>
            </w:r>
          </w:p>
        </w:tc>
        <w:tc>
          <w:tcPr>
            <w:tcW w:type="dxa" w:w="1361"/>
            <w:shd w:val="clear" w:fill="F8F9FA"/>
          </w:tcPr>
          <w:p>
            <w:pPr>
              <w:spacing w:after="20" w:before="20"/>
              <w:jc w:val="right"/>
            </w:pPr>
            <w:r/>
            <w:r>
              <w:rPr>
                <w:rFonts w:ascii="Open Sans" w:hAnsi="Open Sans" w:eastAsia="Open Sans"/>
                <w:b w:val="0"/>
                <w:i w:val="0"/>
                <w:color w:val="222222"/>
                <w:sz w:val="17"/>
              </w:rPr>
              <w:t>7.272</w:t>
            </w:r>
          </w:p>
        </w:tc>
        <w:tc>
          <w:tcPr>
            <w:tcW w:type="dxa" w:w="1701"/>
            <w:shd w:val="clear" w:fill="F8F9FA"/>
          </w:tcPr>
          <w:p>
            <w:pPr>
              <w:spacing w:after="20" w:before="20"/>
              <w:jc w:val="right"/>
            </w:pPr>
            <w:r/>
            <w:r>
              <w:rPr>
                <w:rFonts w:ascii="Open Sans" w:hAnsi="Open Sans" w:eastAsia="Open Sans"/>
                <w:b w:val="0"/>
                <w:i w:val="0"/>
                <w:color w:val="222222"/>
                <w:sz w:val="17"/>
              </w:rPr>
              <w:t>25,4%</w:t>
            </w:r>
          </w:p>
        </w:tc>
      </w:tr>
    </w:tbl>
    <w:p>
      <w:pPr>
        <w:spacing w:after="60" w:before="0" w:line="264" w:lineRule="auto"/>
      </w:pPr>
    </w:p>
    <w:tbl>
      <w:tblPr>
        <w:tblStyle w:val="TableGrid"/>
        <w:tblW w:type="auto" w:w="0"/>
        <w:jc w:val="center"/>
        <w:tblLook w:firstColumn="1" w:firstRow="1" w:lastColumn="0" w:lastRow="0" w:noHBand="0" w:noVBand="1" w:val="04A0"/>
      </w:tblPr>
      <w:tblGrid>
        <w:gridCol w:w="1972"/>
        <w:gridCol w:w="1972"/>
        <w:gridCol w:w="1972"/>
        <w:gridCol w:w="1972"/>
        <w:gridCol w:w="1972"/>
      </w:tblGrid>
      <w:tr>
        <w:tc>
          <w:tcPr>
            <w:tcW w:type="dxa" w:w="3175"/>
            <w:shd w:val="clear" w:fill="0C2340"/>
          </w:tcPr>
          <w:p>
            <w:pPr>
              <w:spacing w:after="20" w:before="20"/>
            </w:pPr>
            <w:r/>
            <w:r>
              <w:rPr>
                <w:rFonts w:ascii="Montserrat" w:hAnsi="Montserrat" w:eastAsia="Montserrat"/>
                <w:b/>
                <w:i w:val="0"/>
                <w:color w:val="FFFFFF"/>
                <w:sz w:val="17"/>
              </w:rPr>
              <w:t>Marca académica</w:t>
            </w:r>
          </w:p>
        </w:tc>
        <w:tc>
          <w:tcPr>
            <w:tcW w:type="dxa" w:w="1531"/>
            <w:shd w:val="clear" w:fill="0C2340"/>
          </w:tcPr>
          <w:p>
            <w:pPr>
              <w:spacing w:after="20" w:before="20"/>
              <w:jc w:val="right"/>
            </w:pPr>
            <w:r/>
            <w:r>
              <w:rPr>
                <w:rFonts w:ascii="Montserrat" w:hAnsi="Montserrat" w:eastAsia="Montserrat"/>
                <w:b/>
                <w:i w:val="0"/>
                <w:color w:val="FFFFFF"/>
                <w:sz w:val="17"/>
              </w:rPr>
              <w:t>Obligaciones</w:t>
            </w:r>
          </w:p>
        </w:tc>
        <w:tc>
          <w:tcPr>
            <w:tcW w:type="dxa" w:w="1531"/>
            <w:shd w:val="clear" w:fill="0C2340"/>
          </w:tcPr>
          <w:p>
            <w:pPr>
              <w:spacing w:after="20" w:before="20"/>
              <w:jc w:val="right"/>
            </w:pPr>
            <w:r/>
            <w:r>
              <w:rPr>
                <w:rFonts w:ascii="Montserrat" w:hAnsi="Montserrat" w:eastAsia="Montserrat"/>
                <w:b/>
                <w:i w:val="0"/>
                <w:color w:val="FFFFFF"/>
                <w:sz w:val="17"/>
              </w:rPr>
              <w:t>Saldo ($ MM)</w:t>
            </w:r>
          </w:p>
        </w:tc>
        <w:tc>
          <w:tcPr>
            <w:tcW w:type="dxa" w:w="1361"/>
            <w:shd w:val="clear" w:fill="0C2340"/>
          </w:tcPr>
          <w:p>
            <w:pPr>
              <w:spacing w:after="20" w:before="20"/>
              <w:jc w:val="right"/>
            </w:pPr>
            <w:r/>
            <w:r>
              <w:rPr>
                <w:rFonts w:ascii="Montserrat" w:hAnsi="Montserrat" w:eastAsia="Montserrat"/>
                <w:b/>
                <w:i w:val="0"/>
                <w:color w:val="FFFFFF"/>
                <w:sz w:val="17"/>
              </w:rPr>
              <w:t>Salieron</w:t>
            </w:r>
          </w:p>
        </w:tc>
        <w:tc>
          <w:tcPr>
            <w:tcW w:type="dxa" w:w="1701"/>
            <w:shd w:val="clear" w:fill="0C2340"/>
          </w:tcPr>
          <w:p>
            <w:pPr>
              <w:spacing w:after="20" w:before="20"/>
              <w:jc w:val="right"/>
            </w:pPr>
            <w:r/>
            <w:r>
              <w:rPr>
                <w:rFonts w:ascii="Montserrat" w:hAnsi="Montserrat" w:eastAsia="Montserrat"/>
                <w:b/>
                <w:i w:val="0"/>
                <w:color w:val="FFFFFF"/>
                <w:sz w:val="17"/>
              </w:rPr>
              <w:t>% cumpl.</w:t>
            </w:r>
          </w:p>
        </w:tc>
      </w:tr>
      <w:tr>
        <w:tc>
          <w:tcPr>
            <w:tcW w:type="dxa" w:w="3175"/>
          </w:tcPr>
          <w:p>
            <w:pPr>
              <w:spacing w:after="20" w:before="20"/>
            </w:pPr>
            <w:r/>
            <w:r>
              <w:rPr>
                <w:rFonts w:ascii="Open Sans" w:hAnsi="Open Sans" w:eastAsia="Open Sans"/>
                <w:b w:val="0"/>
                <w:i w:val="0"/>
                <w:color w:val="222222"/>
                <w:sz w:val="17"/>
              </w:rPr>
              <w:t>Sin registro de clase</w:t>
            </w:r>
          </w:p>
        </w:tc>
        <w:tc>
          <w:tcPr>
            <w:tcW w:type="dxa" w:w="1531"/>
          </w:tcPr>
          <w:p>
            <w:pPr>
              <w:spacing w:after="20" w:before="20"/>
              <w:jc w:val="right"/>
            </w:pPr>
            <w:r/>
            <w:r>
              <w:rPr>
                <w:rFonts w:ascii="Open Sans" w:hAnsi="Open Sans" w:eastAsia="Open Sans"/>
                <w:b w:val="0"/>
                <w:i w:val="0"/>
                <w:color w:val="222222"/>
                <w:sz w:val="17"/>
              </w:rPr>
              <w:t>14.959</w:t>
            </w:r>
          </w:p>
        </w:tc>
        <w:tc>
          <w:tcPr>
            <w:tcW w:type="dxa" w:w="1531"/>
          </w:tcPr>
          <w:p>
            <w:pPr>
              <w:spacing w:after="20" w:before="20"/>
              <w:jc w:val="right"/>
            </w:pPr>
            <w:r/>
            <w:r>
              <w:rPr>
                <w:rFonts w:ascii="Open Sans" w:hAnsi="Open Sans" w:eastAsia="Open Sans"/>
                <w:b w:val="0"/>
                <w:i w:val="0"/>
                <w:color w:val="222222"/>
                <w:sz w:val="17"/>
              </w:rPr>
              <w:t>4.355,0</w:t>
            </w:r>
          </w:p>
        </w:tc>
        <w:tc>
          <w:tcPr>
            <w:tcW w:type="dxa" w:w="1361"/>
          </w:tcPr>
          <w:p>
            <w:pPr>
              <w:spacing w:after="20" w:before="20"/>
              <w:jc w:val="right"/>
            </w:pPr>
            <w:r/>
            <w:r>
              <w:rPr>
                <w:rFonts w:ascii="Open Sans" w:hAnsi="Open Sans" w:eastAsia="Open Sans"/>
                <w:b w:val="0"/>
                <w:i w:val="0"/>
                <w:color w:val="222222"/>
                <w:sz w:val="17"/>
              </w:rPr>
              <w:t>476</w:t>
            </w:r>
          </w:p>
        </w:tc>
        <w:tc>
          <w:tcPr>
            <w:tcW w:type="dxa" w:w="1701"/>
          </w:tcPr>
          <w:p>
            <w:pPr>
              <w:spacing w:after="20" w:before="20"/>
              <w:jc w:val="right"/>
            </w:pPr>
            <w:r/>
            <w:r>
              <w:rPr>
                <w:rFonts w:ascii="Open Sans" w:hAnsi="Open Sans" w:eastAsia="Open Sans"/>
                <w:b w:val="0"/>
                <w:i w:val="0"/>
                <w:color w:val="222222"/>
                <w:sz w:val="17"/>
              </w:rPr>
              <w:t>3,2%</w:t>
            </w:r>
          </w:p>
        </w:tc>
      </w:tr>
      <w:tr>
        <w:tc>
          <w:tcPr>
            <w:tcW w:type="dxa" w:w="3175"/>
            <w:shd w:val="clear" w:fill="F8F9FA"/>
          </w:tcPr>
          <w:p>
            <w:pPr>
              <w:spacing w:after="20" w:before="20"/>
            </w:pPr>
            <w:r/>
            <w:r>
              <w:rPr>
                <w:rFonts w:ascii="Open Sans" w:hAnsi="Open Sans" w:eastAsia="Open Sans"/>
                <w:b w:val="0"/>
                <w:i w:val="0"/>
                <w:color w:val="222222"/>
                <w:sz w:val="17"/>
              </w:rPr>
              <w:t>Gestionable</w:t>
            </w:r>
          </w:p>
        </w:tc>
        <w:tc>
          <w:tcPr>
            <w:tcW w:type="dxa" w:w="1531"/>
            <w:shd w:val="clear" w:fill="F8F9FA"/>
          </w:tcPr>
          <w:p>
            <w:pPr>
              <w:spacing w:after="20" w:before="20"/>
              <w:jc w:val="right"/>
            </w:pPr>
            <w:r/>
            <w:r>
              <w:rPr>
                <w:rFonts w:ascii="Open Sans" w:hAnsi="Open Sans" w:eastAsia="Open Sans"/>
                <w:b w:val="0"/>
                <w:i w:val="0"/>
                <w:color w:val="222222"/>
                <w:sz w:val="17"/>
              </w:rPr>
              <w:t>14.349</w:t>
            </w:r>
          </w:p>
        </w:tc>
        <w:tc>
          <w:tcPr>
            <w:tcW w:type="dxa" w:w="1531"/>
            <w:shd w:val="clear" w:fill="F8F9FA"/>
          </w:tcPr>
          <w:p>
            <w:pPr>
              <w:spacing w:after="20" w:before="20"/>
              <w:jc w:val="right"/>
            </w:pPr>
            <w:r/>
            <w:r>
              <w:rPr>
                <w:rFonts w:ascii="Open Sans" w:hAnsi="Open Sans" w:eastAsia="Open Sans"/>
                <w:b w:val="0"/>
                <w:i w:val="0"/>
                <w:color w:val="222222"/>
                <w:sz w:val="17"/>
              </w:rPr>
              <w:t>5.217,1</w:t>
            </w:r>
          </w:p>
        </w:tc>
        <w:tc>
          <w:tcPr>
            <w:tcW w:type="dxa" w:w="1361"/>
            <w:shd w:val="clear" w:fill="F8F9FA"/>
          </w:tcPr>
          <w:p>
            <w:pPr>
              <w:spacing w:after="20" w:before="20"/>
              <w:jc w:val="right"/>
            </w:pPr>
            <w:r/>
            <w:r>
              <w:rPr>
                <w:rFonts w:ascii="Open Sans" w:hAnsi="Open Sans" w:eastAsia="Open Sans"/>
                <w:b w:val="0"/>
                <w:i w:val="0"/>
                <w:color w:val="222222"/>
                <w:sz w:val="17"/>
              </w:rPr>
              <w:t>3.613</w:t>
            </w:r>
          </w:p>
        </w:tc>
        <w:tc>
          <w:tcPr>
            <w:tcW w:type="dxa" w:w="1701"/>
            <w:shd w:val="clear" w:fill="F8F9FA"/>
          </w:tcPr>
          <w:p>
            <w:pPr>
              <w:spacing w:after="20" w:before="20"/>
              <w:jc w:val="right"/>
            </w:pPr>
            <w:r/>
            <w:r>
              <w:rPr>
                <w:rFonts w:ascii="Open Sans" w:hAnsi="Open Sans" w:eastAsia="Open Sans"/>
                <w:b w:val="0"/>
                <w:i w:val="0"/>
                <w:color w:val="222222"/>
                <w:sz w:val="17"/>
              </w:rPr>
              <w:t>25,2%</w:t>
            </w:r>
          </w:p>
        </w:tc>
      </w:tr>
      <w:tr>
        <w:tc>
          <w:tcPr>
            <w:tcW w:type="dxa" w:w="3175"/>
          </w:tcPr>
          <w:p>
            <w:pPr>
              <w:spacing w:after="20" w:before="20"/>
            </w:pPr>
            <w:r/>
            <w:r>
              <w:rPr>
                <w:rFonts w:ascii="Open Sans" w:hAnsi="Open Sans" w:eastAsia="Open Sans"/>
                <w:b w:val="0"/>
                <w:i w:val="0"/>
                <w:color w:val="222222"/>
                <w:sz w:val="17"/>
              </w:rPr>
              <w:t>Periodo en curso</w:t>
            </w:r>
          </w:p>
        </w:tc>
        <w:tc>
          <w:tcPr>
            <w:tcW w:type="dxa" w:w="1531"/>
          </w:tcPr>
          <w:p>
            <w:pPr>
              <w:spacing w:after="20" w:before="20"/>
              <w:jc w:val="right"/>
            </w:pPr>
            <w:r/>
            <w:r>
              <w:rPr>
                <w:rFonts w:ascii="Open Sans" w:hAnsi="Open Sans" w:eastAsia="Open Sans"/>
                <w:b w:val="0"/>
                <w:i w:val="0"/>
                <w:color w:val="222222"/>
                <w:sz w:val="17"/>
              </w:rPr>
              <w:t>10.496</w:t>
            </w:r>
          </w:p>
        </w:tc>
        <w:tc>
          <w:tcPr>
            <w:tcW w:type="dxa" w:w="1531"/>
          </w:tcPr>
          <w:p>
            <w:pPr>
              <w:spacing w:after="20" w:before="20"/>
              <w:jc w:val="right"/>
            </w:pPr>
            <w:r/>
            <w:r>
              <w:rPr>
                <w:rFonts w:ascii="Open Sans" w:hAnsi="Open Sans" w:eastAsia="Open Sans"/>
                <w:b w:val="0"/>
                <w:i w:val="0"/>
                <w:color w:val="222222"/>
                <w:sz w:val="17"/>
              </w:rPr>
              <w:t>2.489,2</w:t>
            </w:r>
          </w:p>
        </w:tc>
        <w:tc>
          <w:tcPr>
            <w:tcW w:type="dxa" w:w="1361"/>
          </w:tcPr>
          <w:p>
            <w:pPr>
              <w:spacing w:after="20" w:before="20"/>
              <w:jc w:val="right"/>
            </w:pPr>
            <w:r/>
            <w:r>
              <w:rPr>
                <w:rFonts w:ascii="Open Sans" w:hAnsi="Open Sans" w:eastAsia="Open Sans"/>
                <w:b w:val="0"/>
                <w:i w:val="0"/>
                <w:color w:val="222222"/>
                <w:sz w:val="17"/>
              </w:rPr>
              <w:t>2.757</w:t>
            </w:r>
          </w:p>
        </w:tc>
        <w:tc>
          <w:tcPr>
            <w:tcW w:type="dxa" w:w="1701"/>
          </w:tcPr>
          <w:p>
            <w:pPr>
              <w:spacing w:after="20" w:before="20"/>
              <w:jc w:val="right"/>
            </w:pPr>
            <w:r/>
            <w:r>
              <w:rPr>
                <w:rFonts w:ascii="Open Sans" w:hAnsi="Open Sans" w:eastAsia="Open Sans"/>
                <w:b w:val="0"/>
                <w:i w:val="0"/>
                <w:color w:val="222222"/>
                <w:sz w:val="17"/>
              </w:rPr>
              <w:t>26,3%</w:t>
            </w:r>
          </w:p>
        </w:tc>
      </w:tr>
      <w:tr>
        <w:tc>
          <w:tcPr>
            <w:tcW w:type="dxa" w:w="3175"/>
            <w:shd w:val="clear" w:fill="F8F9FA"/>
          </w:tcPr>
          <w:p>
            <w:pPr>
              <w:spacing w:after="20" w:before="20"/>
            </w:pPr>
            <w:r/>
            <w:r>
              <w:rPr>
                <w:rFonts w:ascii="Open Sans" w:hAnsi="Open Sans" w:eastAsia="Open Sans"/>
                <w:b w:val="0"/>
                <w:i w:val="0"/>
                <w:color w:val="222222"/>
                <w:sz w:val="17"/>
              </w:rPr>
              <w:t>Periodo perdido, prioridad alta</w:t>
            </w:r>
          </w:p>
        </w:tc>
        <w:tc>
          <w:tcPr>
            <w:tcW w:type="dxa" w:w="1531"/>
            <w:shd w:val="clear" w:fill="F8F9FA"/>
          </w:tcPr>
          <w:p>
            <w:pPr>
              <w:spacing w:after="20" w:before="20"/>
              <w:jc w:val="right"/>
            </w:pPr>
            <w:r/>
            <w:r>
              <w:rPr>
                <w:rFonts w:ascii="Open Sans" w:hAnsi="Open Sans" w:eastAsia="Open Sans"/>
                <w:b w:val="0"/>
                <w:i w:val="0"/>
                <w:color w:val="222222"/>
                <w:sz w:val="17"/>
              </w:rPr>
              <w:t>5.955</w:t>
            </w:r>
          </w:p>
        </w:tc>
        <w:tc>
          <w:tcPr>
            <w:tcW w:type="dxa" w:w="1531"/>
            <w:shd w:val="clear" w:fill="F8F9FA"/>
          </w:tcPr>
          <w:p>
            <w:pPr>
              <w:spacing w:after="20" w:before="20"/>
              <w:jc w:val="right"/>
            </w:pPr>
            <w:r/>
            <w:r>
              <w:rPr>
                <w:rFonts w:ascii="Open Sans" w:hAnsi="Open Sans" w:eastAsia="Open Sans"/>
                <w:b w:val="0"/>
                <w:i w:val="0"/>
                <w:color w:val="222222"/>
                <w:sz w:val="17"/>
              </w:rPr>
              <w:t>1.908,4</w:t>
            </w:r>
          </w:p>
        </w:tc>
        <w:tc>
          <w:tcPr>
            <w:tcW w:type="dxa" w:w="1361"/>
            <w:shd w:val="clear" w:fill="F8F9FA"/>
          </w:tcPr>
          <w:p>
            <w:pPr>
              <w:spacing w:after="20" w:before="20"/>
              <w:jc w:val="right"/>
            </w:pPr>
            <w:r/>
            <w:r>
              <w:rPr>
                <w:rFonts w:ascii="Open Sans" w:hAnsi="Open Sans" w:eastAsia="Open Sans"/>
                <w:b w:val="0"/>
                <w:i w:val="0"/>
                <w:color w:val="222222"/>
                <w:sz w:val="17"/>
              </w:rPr>
              <w:t>562</w:t>
            </w:r>
          </w:p>
        </w:tc>
        <w:tc>
          <w:tcPr>
            <w:tcW w:type="dxa" w:w="1701"/>
            <w:shd w:val="clear" w:fill="F8F9FA"/>
          </w:tcPr>
          <w:p>
            <w:pPr>
              <w:spacing w:after="20" w:before="20"/>
              <w:jc w:val="right"/>
            </w:pPr>
            <w:r/>
            <w:r>
              <w:rPr>
                <w:rFonts w:ascii="Open Sans" w:hAnsi="Open Sans" w:eastAsia="Open Sans"/>
                <w:b w:val="0"/>
                <w:i w:val="0"/>
                <w:color w:val="222222"/>
                <w:sz w:val="17"/>
              </w:rPr>
              <w:t>9,4%</w:t>
            </w:r>
          </w:p>
        </w:tc>
      </w:tr>
      <w:tr>
        <w:tc>
          <w:tcPr>
            <w:tcW w:type="dxa" w:w="3175"/>
          </w:tcPr>
          <w:p>
            <w:pPr>
              <w:spacing w:after="20" w:before="20"/>
            </w:pPr>
            <w:r/>
            <w:r>
              <w:rPr>
                <w:rFonts w:ascii="Open Sans" w:hAnsi="Open Sans" w:eastAsia="Open Sans"/>
                <w:b w:val="0"/>
                <w:i w:val="0"/>
                <w:color w:val="222222"/>
                <w:sz w:val="17"/>
              </w:rPr>
              <w:t>Periodo no ha iniciado</w:t>
            </w:r>
          </w:p>
        </w:tc>
        <w:tc>
          <w:tcPr>
            <w:tcW w:type="dxa" w:w="1531"/>
          </w:tcPr>
          <w:p>
            <w:pPr>
              <w:spacing w:after="20" w:before="20"/>
              <w:jc w:val="right"/>
            </w:pPr>
            <w:r/>
            <w:r>
              <w:rPr>
                <w:rFonts w:ascii="Open Sans" w:hAnsi="Open Sans" w:eastAsia="Open Sans"/>
                <w:b w:val="0"/>
                <w:i w:val="0"/>
                <w:color w:val="222222"/>
                <w:sz w:val="17"/>
              </w:rPr>
              <w:t>3.980</w:t>
            </w:r>
          </w:p>
        </w:tc>
        <w:tc>
          <w:tcPr>
            <w:tcW w:type="dxa" w:w="1531"/>
          </w:tcPr>
          <w:p>
            <w:pPr>
              <w:spacing w:after="20" w:before="20"/>
              <w:jc w:val="right"/>
            </w:pPr>
            <w:r/>
            <w:r>
              <w:rPr>
                <w:rFonts w:ascii="Open Sans" w:hAnsi="Open Sans" w:eastAsia="Open Sans"/>
                <w:b w:val="0"/>
                <w:i w:val="0"/>
                <w:color w:val="222222"/>
                <w:sz w:val="17"/>
              </w:rPr>
              <w:t>1.106,3</w:t>
            </w:r>
          </w:p>
        </w:tc>
        <w:tc>
          <w:tcPr>
            <w:tcW w:type="dxa" w:w="1361"/>
          </w:tcPr>
          <w:p>
            <w:pPr>
              <w:spacing w:after="20" w:before="20"/>
              <w:jc w:val="right"/>
            </w:pPr>
            <w:r/>
            <w:r>
              <w:rPr>
                <w:rFonts w:ascii="Open Sans" w:hAnsi="Open Sans" w:eastAsia="Open Sans"/>
                <w:b w:val="0"/>
                <w:i w:val="0"/>
                <w:color w:val="222222"/>
                <w:sz w:val="17"/>
              </w:rPr>
              <w:t>1.804</w:t>
            </w:r>
          </w:p>
        </w:tc>
        <w:tc>
          <w:tcPr>
            <w:tcW w:type="dxa" w:w="1701"/>
          </w:tcPr>
          <w:p>
            <w:pPr>
              <w:spacing w:after="20" w:before="20"/>
              <w:jc w:val="right"/>
            </w:pPr>
            <w:r/>
            <w:r>
              <w:rPr>
                <w:rFonts w:ascii="Open Sans" w:hAnsi="Open Sans" w:eastAsia="Open Sans"/>
                <w:b w:val="0"/>
                <w:i w:val="0"/>
                <w:color w:val="222222"/>
                <w:sz w:val="17"/>
              </w:rPr>
              <w:t>45,3%</w:t>
            </w:r>
          </w:p>
        </w:tc>
      </w:tr>
    </w:tbl>
    <w:p>
      <w:pPr>
        <w:spacing w:after="60" w:before="0" w:line="264" w:lineRule="auto"/>
      </w:pPr>
    </w:p>
    <w:p>
      <w:pPr>
        <w:spacing w:after="60" w:line="259" w:lineRule="auto"/>
        <w:ind w:left="312"/>
      </w:pPr>
      <w:r>
        <w:rPr>
          <w:rFonts w:ascii="Open Sans" w:hAnsi="Open Sans" w:eastAsia="Open Sans"/>
          <w:b/>
          <w:i w:val="0"/>
          <w:color w:val="007A33"/>
          <w:sz w:val="20"/>
        </w:rPr>
        <w:t xml:space="preserve">▪  </w:t>
      </w:r>
      <w:r>
        <w:rPr>
          <w:rFonts w:ascii="Open Sans" w:hAnsi="Open Sans" w:eastAsia="Open Sans"/>
          <w:b/>
          <w:i w:val="0"/>
          <w:color w:val="1B365D"/>
          <w:sz w:val="19"/>
        </w:rPr>
        <w:t xml:space="preserve">Lectura principal: </w:t>
      </w:r>
      <w:r>
        <w:rPr>
          <w:rFonts w:ascii="Open Sans" w:hAnsi="Open Sans" w:eastAsia="Open Sans"/>
          <w:b w:val="0"/>
          <w:i w:val="0"/>
          <w:color w:val="222222"/>
          <w:sz w:val="19"/>
        </w:rPr>
        <w:t>el cumplimiento cae de forma sostenida con la antigüedad —25,4% en Q4 contra 7,4% en Q1— y «sin registro de clase» concentra $4.355,0 millones con apenas 3,2%. Es el grupo más grande de la meta y el que menos responde.</w:t>
      </w:r>
    </w:p>
    <w:p>
      <w:pPr>
        <w:spacing w:before="140" w:after="60"/>
      </w:pPr>
      <w:r>
        <w:rPr>
          <w:rFonts w:ascii="Montserrat" w:hAnsi="Montserrat" w:eastAsia="Montserrat"/>
          <w:b/>
          <w:i w:val="0"/>
          <w:color w:val="0C2340"/>
          <w:sz w:val="25"/>
        </w:rPr>
        <w:t>4.  Gestión del equipo de asesores</w:t>
      </w:r>
    </w:p>
    <w:tbl>
      <w:tblPr>
        <w:tblW w:type="auto" w:w="0"/>
        <w:jc w:val="center"/>
        <w:tblLook w:firstColumn="1" w:firstRow="1" w:lastColumn="0" w:lastRow="0" w:noHBand="0" w:noVBand="1" w:val="04A0"/>
      </w:tblPr>
      <w:tblGrid>
        <w:gridCol w:w="2465"/>
        <w:gridCol w:w="2465"/>
        <w:gridCol w:w="2465"/>
        <w:gridCol w:w="2465"/>
      </w:tblGrid>
      <w:tr>
        <w:tc>
          <w:tcPr>
            <w:tcW w:type="dxa" w:w="2465"/>
          </w:tcPr>
          <w:p>
            <w:pPr>
              <w:spacing w:after="20" w:before="20"/>
              <w:jc w:val="center"/>
            </w:pPr>
            <w:r/>
            <w:r>
              <w:rPr>
                <w:rFonts w:ascii="Montserrat" w:hAnsi="Montserrat" w:eastAsia="Montserrat"/>
                <w:b/>
                <w:i w:val="0"/>
                <w:color w:val="00859B"/>
                <w:sz w:val="30"/>
              </w:rPr>
              <w:t>22.941</w:t>
            </w:r>
          </w:p>
        </w:tc>
        <w:tc>
          <w:tcPr>
            <w:tcW w:type="dxa" w:w="2465"/>
          </w:tcPr>
          <w:p>
            <w:pPr>
              <w:spacing w:after="20" w:before="20"/>
              <w:jc w:val="center"/>
            </w:pPr>
            <w:r/>
            <w:r>
              <w:rPr>
                <w:rFonts w:ascii="Montserrat" w:hAnsi="Montserrat" w:eastAsia="Montserrat"/>
                <w:b/>
                <w:i w:val="0"/>
                <w:color w:val="00859B"/>
                <w:sz w:val="30"/>
              </w:rPr>
              <w:t>18.483</w:t>
            </w:r>
          </w:p>
        </w:tc>
        <w:tc>
          <w:tcPr>
            <w:tcW w:type="dxa" w:w="2465"/>
          </w:tcPr>
          <w:p>
            <w:pPr>
              <w:spacing w:after="20" w:before="20"/>
              <w:jc w:val="center"/>
            </w:pPr>
            <w:r/>
            <w:r>
              <w:rPr>
                <w:rFonts w:ascii="Montserrat" w:hAnsi="Montserrat" w:eastAsia="Montserrat"/>
                <w:b/>
                <w:i w:val="0"/>
                <w:color w:val="00859B"/>
                <w:sz w:val="30"/>
              </w:rPr>
              <w:t>14</w:t>
            </w:r>
          </w:p>
        </w:tc>
        <w:tc>
          <w:tcPr>
            <w:tcW w:type="dxa" w:w="2465"/>
          </w:tcPr>
          <w:p>
            <w:pPr>
              <w:spacing w:after="20" w:before="20"/>
              <w:jc w:val="center"/>
            </w:pPr>
            <w:r/>
            <w:r>
              <w:rPr>
                <w:rFonts w:ascii="Montserrat" w:hAnsi="Montserrat" w:eastAsia="Montserrat"/>
                <w:b/>
                <w:i w:val="0"/>
                <w:color w:val="00859B"/>
                <w:sz w:val="30"/>
              </w:rPr>
              <w:t>1.638</w:t>
            </w:r>
          </w:p>
        </w:tc>
      </w:tr>
      <w:tr>
        <w:tc>
          <w:tcPr>
            <w:tcW w:type="dxa" w:w="2465"/>
          </w:tcPr>
          <w:p>
            <w:pPr>
              <w:spacing w:after="20" w:before="20"/>
              <w:jc w:val="center"/>
            </w:pPr>
            <w:r/>
            <w:r>
              <w:rPr>
                <w:rFonts w:ascii="Open Sans" w:hAnsi="Open Sans" w:eastAsia="Open Sans"/>
                <w:b w:val="0"/>
                <w:i w:val="0"/>
                <w:color w:val="898D8D"/>
                <w:sz w:val="16"/>
              </w:rPr>
              <w:t>GESTIONES REALES</w:t>
            </w:r>
          </w:p>
        </w:tc>
        <w:tc>
          <w:tcPr>
            <w:tcW w:type="dxa" w:w="2465"/>
          </w:tcPr>
          <w:p>
            <w:pPr>
              <w:spacing w:after="20" w:before="20"/>
              <w:jc w:val="center"/>
            </w:pPr>
            <w:r/>
            <w:r>
              <w:rPr>
                <w:rFonts w:ascii="Open Sans" w:hAnsi="Open Sans" w:eastAsia="Open Sans"/>
                <w:b w:val="0"/>
                <w:i w:val="0"/>
                <w:color w:val="898D8D"/>
                <w:sz w:val="16"/>
              </w:rPr>
              <w:t>PERSONAS GESTIONADAS</w:t>
            </w:r>
          </w:p>
        </w:tc>
        <w:tc>
          <w:tcPr>
            <w:tcW w:type="dxa" w:w="2465"/>
          </w:tcPr>
          <w:p>
            <w:pPr>
              <w:spacing w:after="20" w:before="20"/>
              <w:jc w:val="center"/>
            </w:pPr>
            <w:r/>
            <w:r>
              <w:rPr>
                <w:rFonts w:ascii="Open Sans" w:hAnsi="Open Sans" w:eastAsia="Open Sans"/>
                <w:b w:val="0"/>
                <w:i w:val="0"/>
                <w:color w:val="898D8D"/>
                <w:sz w:val="16"/>
              </w:rPr>
              <w:t>ASESORES ACTIVOS</w:t>
            </w:r>
          </w:p>
        </w:tc>
        <w:tc>
          <w:tcPr>
            <w:tcW w:type="dxa" w:w="2465"/>
          </w:tcPr>
          <w:p>
            <w:pPr>
              <w:spacing w:after="20" w:before="20"/>
              <w:jc w:val="center"/>
            </w:pPr>
            <w:r/>
            <w:r>
              <w:rPr>
                <w:rFonts w:ascii="Open Sans" w:hAnsi="Open Sans" w:eastAsia="Open Sans"/>
                <w:b w:val="0"/>
                <w:i w:val="0"/>
                <w:color w:val="898D8D"/>
                <w:sz w:val="16"/>
              </w:rPr>
              <w:t>GESTIONES PROMEDIO</w:t>
            </w:r>
          </w:p>
        </w:tc>
      </w:tr>
    </w:tbl>
    <w:p>
      <w:pPr>
        <w:spacing w:after="80" w:before="120" w:line="264" w:lineRule="auto"/>
      </w:pPr>
      <w:r>
        <w:rPr>
          <w:rFonts w:ascii="Open Sans" w:hAnsi="Open Sans" w:eastAsia="Open Sans"/>
          <w:b w:val="0"/>
          <w:i w:val="0"/>
          <w:color w:val="222222"/>
          <w:sz w:val="20"/>
        </w:rPr>
        <w:t>Contabilizamos como gestión cada tipificación registrada en el histórico del CRM dentro del mes, excluyendo las cuentas de sistema. Una fila es una gestión, no una obligación: es el conteo que permite comparar el esfuerzo entre asesores.</w:t>
      </w:r>
    </w:p>
    <w:tbl>
      <w:tblPr>
        <w:tblStyle w:val="TableGrid"/>
        <w:tblW w:type="auto" w:w="0"/>
        <w:jc w:val="center"/>
        <w:tblLook w:firstColumn="1" w:firstRow="1" w:lastColumn="0" w:lastRow="0" w:noHBand="0" w:noVBand="1" w:val="04A0"/>
      </w:tblPr>
      <w:tblGrid>
        <w:gridCol w:w="2465"/>
        <w:gridCol w:w="2465"/>
        <w:gridCol w:w="2465"/>
        <w:gridCol w:w="2465"/>
      </w:tblGrid>
      <w:tr>
        <w:tc>
          <w:tcPr>
            <w:tcW w:type="dxa" w:w="4309"/>
            <w:shd w:val="clear" w:fill="0C2340"/>
          </w:tcPr>
          <w:p>
            <w:pPr>
              <w:spacing w:after="20" w:before="20"/>
            </w:pPr>
            <w:r/>
            <w:r>
              <w:rPr>
                <w:rFonts w:ascii="Montserrat" w:hAnsi="Montserrat" w:eastAsia="Montserrat"/>
                <w:b/>
                <w:i w:val="0"/>
                <w:color w:val="FFFFFF"/>
                <w:sz w:val="17"/>
              </w:rPr>
              <w:t>Tipificación aplicada</w:t>
            </w:r>
          </w:p>
        </w:tc>
        <w:tc>
          <w:tcPr>
            <w:tcW w:type="dxa" w:w="1474"/>
            <w:shd w:val="clear" w:fill="0C2340"/>
          </w:tcPr>
          <w:p>
            <w:pPr>
              <w:spacing w:after="20" w:before="20"/>
              <w:jc w:val="right"/>
            </w:pPr>
            <w:r/>
            <w:r>
              <w:rPr>
                <w:rFonts w:ascii="Montserrat" w:hAnsi="Montserrat" w:eastAsia="Montserrat"/>
                <w:b/>
                <w:i w:val="0"/>
                <w:color w:val="FFFFFF"/>
                <w:sz w:val="17"/>
              </w:rPr>
              <w:t>Gestiones</w:t>
            </w:r>
          </w:p>
        </w:tc>
        <w:tc>
          <w:tcPr>
            <w:tcW w:type="dxa" w:w="1361"/>
            <w:shd w:val="clear" w:fill="0C2340"/>
          </w:tcPr>
          <w:p>
            <w:pPr>
              <w:spacing w:after="20" w:before="20"/>
              <w:jc w:val="right"/>
            </w:pPr>
            <w:r/>
            <w:r>
              <w:rPr>
                <w:rFonts w:ascii="Montserrat" w:hAnsi="Montserrat" w:eastAsia="Montserrat"/>
                <w:b/>
                <w:i w:val="0"/>
                <w:color w:val="FFFFFF"/>
                <w:sz w:val="17"/>
              </w:rPr>
              <w:t>Personas</w:t>
            </w:r>
          </w:p>
        </w:tc>
        <w:tc>
          <w:tcPr>
            <w:tcW w:type="dxa" w:w="2154"/>
            <w:shd w:val="clear" w:fill="0C2340"/>
          </w:tcPr>
          <w:p>
            <w:pPr>
              <w:spacing w:after="20" w:before="20"/>
              <w:jc w:val="right"/>
            </w:pPr>
            <w:r/>
            <w:r>
              <w:rPr>
                <w:rFonts w:ascii="Montserrat" w:hAnsi="Montserrat" w:eastAsia="Montserrat"/>
                <w:b/>
                <w:i w:val="0"/>
                <w:color w:val="FFFFFF"/>
                <w:sz w:val="17"/>
              </w:rPr>
              <w:t>% gestión</w:t>
            </w:r>
          </w:p>
        </w:tc>
      </w:tr>
      <w:tr>
        <w:tc>
          <w:tcPr>
            <w:tcW w:type="dxa" w:w="4309"/>
          </w:tcPr>
          <w:p>
            <w:pPr>
              <w:spacing w:after="20" w:before="20"/>
            </w:pPr>
            <w:r/>
            <w:r>
              <w:rPr>
                <w:rFonts w:ascii="Open Sans" w:hAnsi="Open Sans" w:eastAsia="Open Sans"/>
                <w:b w:val="0"/>
                <w:i w:val="0"/>
                <w:color w:val="222222"/>
                <w:sz w:val="17"/>
              </w:rPr>
              <w:t>Seguimiento al compromiso de pago</w:t>
            </w:r>
          </w:p>
        </w:tc>
        <w:tc>
          <w:tcPr>
            <w:tcW w:type="dxa" w:w="1474"/>
          </w:tcPr>
          <w:p>
            <w:pPr>
              <w:spacing w:after="20" w:before="20"/>
              <w:jc w:val="right"/>
            </w:pPr>
            <w:r/>
            <w:r>
              <w:rPr>
                <w:rFonts w:ascii="Open Sans" w:hAnsi="Open Sans" w:eastAsia="Open Sans"/>
                <w:b w:val="0"/>
                <w:i w:val="0"/>
                <w:color w:val="222222"/>
                <w:sz w:val="17"/>
              </w:rPr>
              <w:t>10.266</w:t>
            </w:r>
          </w:p>
        </w:tc>
        <w:tc>
          <w:tcPr>
            <w:tcW w:type="dxa" w:w="1361"/>
          </w:tcPr>
          <w:p>
            <w:pPr>
              <w:spacing w:after="20" w:before="20"/>
              <w:jc w:val="right"/>
            </w:pPr>
            <w:r/>
            <w:r>
              <w:rPr>
                <w:rFonts w:ascii="Open Sans" w:hAnsi="Open Sans" w:eastAsia="Open Sans"/>
                <w:b w:val="0"/>
                <w:i w:val="0"/>
                <w:color w:val="222222"/>
                <w:sz w:val="17"/>
              </w:rPr>
              <w:t>10.030</w:t>
            </w:r>
          </w:p>
        </w:tc>
        <w:tc>
          <w:tcPr>
            <w:tcW w:type="dxa" w:w="2154"/>
          </w:tcPr>
          <w:p>
            <w:pPr>
              <w:spacing w:after="20" w:before="20"/>
              <w:jc w:val="right"/>
            </w:pPr>
            <w:r/>
            <w:r>
              <w:rPr>
                <w:rFonts w:ascii="Open Sans" w:hAnsi="Open Sans" w:eastAsia="Open Sans"/>
                <w:b w:val="0"/>
                <w:i w:val="0"/>
                <w:color w:val="222222"/>
                <w:sz w:val="17"/>
              </w:rPr>
              <w:t>44,8%</w:t>
            </w:r>
          </w:p>
        </w:tc>
      </w:tr>
      <w:tr>
        <w:tc>
          <w:tcPr>
            <w:tcW w:type="dxa" w:w="4309"/>
            <w:shd w:val="clear" w:fill="F8F9FA"/>
          </w:tcPr>
          <w:p>
            <w:pPr>
              <w:spacing w:after="20" w:before="20"/>
            </w:pPr>
            <w:r/>
            <w:r>
              <w:rPr>
                <w:rFonts w:ascii="Open Sans" w:hAnsi="Open Sans" w:eastAsia="Open Sans"/>
                <w:b w:val="0"/>
                <w:i w:val="0"/>
                <w:color w:val="222222"/>
                <w:sz w:val="17"/>
              </w:rPr>
              <w:t>No contesta</w:t>
            </w:r>
          </w:p>
        </w:tc>
        <w:tc>
          <w:tcPr>
            <w:tcW w:type="dxa" w:w="1474"/>
            <w:shd w:val="clear" w:fill="F8F9FA"/>
          </w:tcPr>
          <w:p>
            <w:pPr>
              <w:spacing w:after="20" w:before="20"/>
              <w:jc w:val="right"/>
            </w:pPr>
            <w:r/>
            <w:r>
              <w:rPr>
                <w:rFonts w:ascii="Open Sans" w:hAnsi="Open Sans" w:eastAsia="Open Sans"/>
                <w:b w:val="0"/>
                <w:i w:val="0"/>
                <w:color w:val="222222"/>
                <w:sz w:val="17"/>
              </w:rPr>
              <w:t>5.974</w:t>
            </w:r>
          </w:p>
        </w:tc>
        <w:tc>
          <w:tcPr>
            <w:tcW w:type="dxa" w:w="1361"/>
            <w:shd w:val="clear" w:fill="F8F9FA"/>
          </w:tcPr>
          <w:p>
            <w:pPr>
              <w:spacing w:after="20" w:before="20"/>
              <w:jc w:val="right"/>
            </w:pPr>
            <w:r/>
            <w:r>
              <w:rPr>
                <w:rFonts w:ascii="Open Sans" w:hAnsi="Open Sans" w:eastAsia="Open Sans"/>
                <w:b w:val="0"/>
                <w:i w:val="0"/>
                <w:color w:val="222222"/>
                <w:sz w:val="17"/>
              </w:rPr>
              <w:t>5.793</w:t>
            </w:r>
          </w:p>
        </w:tc>
        <w:tc>
          <w:tcPr>
            <w:tcW w:type="dxa" w:w="2154"/>
            <w:shd w:val="clear" w:fill="F8F9FA"/>
          </w:tcPr>
          <w:p>
            <w:pPr>
              <w:spacing w:after="20" w:before="20"/>
              <w:jc w:val="right"/>
            </w:pPr>
            <w:r/>
            <w:r>
              <w:rPr>
                <w:rFonts w:ascii="Open Sans" w:hAnsi="Open Sans" w:eastAsia="Open Sans"/>
                <w:b w:val="0"/>
                <w:i w:val="0"/>
                <w:color w:val="222222"/>
                <w:sz w:val="17"/>
              </w:rPr>
              <w:t>26,0%</w:t>
            </w:r>
          </w:p>
        </w:tc>
      </w:tr>
      <w:tr>
        <w:tc>
          <w:tcPr>
            <w:tcW w:type="dxa" w:w="4309"/>
          </w:tcPr>
          <w:p>
            <w:pPr>
              <w:spacing w:after="20" w:before="20"/>
            </w:pPr>
            <w:r/>
            <w:r>
              <w:rPr>
                <w:rFonts w:ascii="Open Sans" w:hAnsi="Open Sans" w:eastAsia="Open Sans"/>
                <w:b w:val="0"/>
                <w:i w:val="0"/>
                <w:color w:val="222222"/>
                <w:sz w:val="17"/>
              </w:rPr>
              <w:t>Genera acuerdo de pago verbal</w:t>
            </w:r>
          </w:p>
        </w:tc>
        <w:tc>
          <w:tcPr>
            <w:tcW w:type="dxa" w:w="1474"/>
          </w:tcPr>
          <w:p>
            <w:pPr>
              <w:spacing w:after="20" w:before="20"/>
              <w:jc w:val="right"/>
            </w:pPr>
            <w:r/>
            <w:r>
              <w:rPr>
                <w:rFonts w:ascii="Open Sans" w:hAnsi="Open Sans" w:eastAsia="Open Sans"/>
                <w:b w:val="0"/>
                <w:i w:val="0"/>
                <w:color w:val="222222"/>
                <w:sz w:val="17"/>
              </w:rPr>
              <w:t>2.994</w:t>
            </w:r>
          </w:p>
        </w:tc>
        <w:tc>
          <w:tcPr>
            <w:tcW w:type="dxa" w:w="1361"/>
          </w:tcPr>
          <w:p>
            <w:pPr>
              <w:spacing w:after="20" w:before="20"/>
              <w:jc w:val="right"/>
            </w:pPr>
            <w:r/>
            <w:r>
              <w:rPr>
                <w:rFonts w:ascii="Open Sans" w:hAnsi="Open Sans" w:eastAsia="Open Sans"/>
                <w:b w:val="0"/>
                <w:i w:val="0"/>
                <w:color w:val="222222"/>
                <w:sz w:val="17"/>
              </w:rPr>
              <w:t>2.914</w:t>
            </w:r>
          </w:p>
        </w:tc>
        <w:tc>
          <w:tcPr>
            <w:tcW w:type="dxa" w:w="2154"/>
          </w:tcPr>
          <w:p>
            <w:pPr>
              <w:spacing w:after="20" w:before="20"/>
              <w:jc w:val="right"/>
            </w:pPr>
            <w:r/>
            <w:r>
              <w:rPr>
                <w:rFonts w:ascii="Open Sans" w:hAnsi="Open Sans" w:eastAsia="Open Sans"/>
                <w:b w:val="0"/>
                <w:i w:val="0"/>
                <w:color w:val="222222"/>
                <w:sz w:val="17"/>
              </w:rPr>
              <w:t>13,1%</w:t>
            </w:r>
          </w:p>
        </w:tc>
      </w:tr>
      <w:tr>
        <w:tc>
          <w:tcPr>
            <w:tcW w:type="dxa" w:w="4309"/>
            <w:shd w:val="clear" w:fill="F8F9FA"/>
          </w:tcPr>
          <w:p>
            <w:pPr>
              <w:spacing w:after="20" w:before="20"/>
            </w:pPr>
            <w:r/>
            <w:r>
              <w:rPr>
                <w:rFonts w:ascii="Open Sans" w:hAnsi="Open Sans" w:eastAsia="Open Sans"/>
                <w:b w:val="0"/>
                <w:i w:val="0"/>
                <w:color w:val="222222"/>
                <w:sz w:val="17"/>
              </w:rPr>
              <w:t>Ya realizó el pago por acuerdo</w:t>
            </w:r>
          </w:p>
        </w:tc>
        <w:tc>
          <w:tcPr>
            <w:tcW w:type="dxa" w:w="1474"/>
            <w:shd w:val="clear" w:fill="F8F9FA"/>
          </w:tcPr>
          <w:p>
            <w:pPr>
              <w:spacing w:after="20" w:before="20"/>
              <w:jc w:val="right"/>
            </w:pPr>
            <w:r/>
            <w:r>
              <w:rPr>
                <w:rFonts w:ascii="Open Sans" w:hAnsi="Open Sans" w:eastAsia="Open Sans"/>
                <w:b w:val="0"/>
                <w:i w:val="0"/>
                <w:color w:val="222222"/>
                <w:sz w:val="17"/>
              </w:rPr>
              <w:t>1.234</w:t>
            </w:r>
          </w:p>
        </w:tc>
        <w:tc>
          <w:tcPr>
            <w:tcW w:type="dxa" w:w="1361"/>
            <w:shd w:val="clear" w:fill="F8F9FA"/>
          </w:tcPr>
          <w:p>
            <w:pPr>
              <w:spacing w:after="20" w:before="20"/>
              <w:jc w:val="right"/>
            </w:pPr>
            <w:r/>
            <w:r>
              <w:rPr>
                <w:rFonts w:ascii="Open Sans" w:hAnsi="Open Sans" w:eastAsia="Open Sans"/>
                <w:b w:val="0"/>
                <w:i w:val="0"/>
                <w:color w:val="222222"/>
                <w:sz w:val="17"/>
              </w:rPr>
              <w:t>1.197</w:t>
            </w:r>
          </w:p>
        </w:tc>
        <w:tc>
          <w:tcPr>
            <w:tcW w:type="dxa" w:w="2154"/>
            <w:shd w:val="clear" w:fill="F8F9FA"/>
          </w:tcPr>
          <w:p>
            <w:pPr>
              <w:spacing w:after="20" w:before="20"/>
              <w:jc w:val="right"/>
            </w:pPr>
            <w:r/>
            <w:r>
              <w:rPr>
                <w:rFonts w:ascii="Open Sans" w:hAnsi="Open Sans" w:eastAsia="Open Sans"/>
                <w:b w:val="0"/>
                <w:i w:val="0"/>
                <w:color w:val="222222"/>
                <w:sz w:val="17"/>
              </w:rPr>
              <w:t>5,4%</w:t>
            </w:r>
          </w:p>
        </w:tc>
      </w:tr>
      <w:tr>
        <w:tc>
          <w:tcPr>
            <w:tcW w:type="dxa" w:w="4309"/>
          </w:tcPr>
          <w:p>
            <w:pPr>
              <w:spacing w:after="20" w:before="20"/>
            </w:pPr>
            <w:r/>
            <w:r>
              <w:rPr>
                <w:rFonts w:ascii="Open Sans" w:hAnsi="Open Sans" w:eastAsia="Open Sans"/>
                <w:b w:val="0"/>
                <w:i w:val="0"/>
                <w:color w:val="222222"/>
                <w:sz w:val="17"/>
              </w:rPr>
              <w:t>Ya realizó el pago</w:t>
            </w:r>
          </w:p>
        </w:tc>
        <w:tc>
          <w:tcPr>
            <w:tcW w:type="dxa" w:w="1474"/>
          </w:tcPr>
          <w:p>
            <w:pPr>
              <w:spacing w:after="20" w:before="20"/>
              <w:jc w:val="right"/>
            </w:pPr>
            <w:r/>
            <w:r>
              <w:rPr>
                <w:rFonts w:ascii="Open Sans" w:hAnsi="Open Sans" w:eastAsia="Open Sans"/>
                <w:b w:val="0"/>
                <w:i w:val="0"/>
                <w:color w:val="222222"/>
                <w:sz w:val="17"/>
              </w:rPr>
              <w:t>1.044</w:t>
            </w:r>
          </w:p>
        </w:tc>
        <w:tc>
          <w:tcPr>
            <w:tcW w:type="dxa" w:w="1361"/>
          </w:tcPr>
          <w:p>
            <w:pPr>
              <w:spacing w:after="20" w:before="20"/>
              <w:jc w:val="right"/>
            </w:pPr>
            <w:r/>
            <w:r>
              <w:rPr>
                <w:rFonts w:ascii="Open Sans" w:hAnsi="Open Sans" w:eastAsia="Open Sans"/>
                <w:b w:val="0"/>
                <w:i w:val="0"/>
                <w:color w:val="222222"/>
                <w:sz w:val="17"/>
              </w:rPr>
              <w:t>1.023</w:t>
            </w:r>
          </w:p>
        </w:tc>
        <w:tc>
          <w:tcPr>
            <w:tcW w:type="dxa" w:w="2154"/>
          </w:tcPr>
          <w:p>
            <w:pPr>
              <w:spacing w:after="20" w:before="20"/>
              <w:jc w:val="right"/>
            </w:pPr>
            <w:r/>
            <w:r>
              <w:rPr>
                <w:rFonts w:ascii="Open Sans" w:hAnsi="Open Sans" w:eastAsia="Open Sans"/>
                <w:b w:val="0"/>
                <w:i w:val="0"/>
                <w:color w:val="222222"/>
                <w:sz w:val="17"/>
              </w:rPr>
              <w:t>4,6%</w:t>
            </w:r>
          </w:p>
        </w:tc>
      </w:tr>
      <w:tr>
        <w:tc>
          <w:tcPr>
            <w:tcW w:type="dxa" w:w="4309"/>
            <w:shd w:val="clear" w:fill="F8F9FA"/>
          </w:tcPr>
          <w:p>
            <w:pPr>
              <w:spacing w:after="20" w:before="20"/>
            </w:pPr>
            <w:r/>
            <w:r>
              <w:rPr>
                <w:rFonts w:ascii="Open Sans" w:hAnsi="Open Sans" w:eastAsia="Open Sans"/>
                <w:b w:val="0"/>
                <w:i w:val="0"/>
                <w:color w:val="222222"/>
                <w:sz w:val="17"/>
              </w:rPr>
              <w:t>Envío de correo tras llamada</w:t>
            </w:r>
          </w:p>
        </w:tc>
        <w:tc>
          <w:tcPr>
            <w:tcW w:type="dxa" w:w="1474"/>
            <w:shd w:val="clear" w:fill="F8F9FA"/>
          </w:tcPr>
          <w:p>
            <w:pPr>
              <w:spacing w:after="20" w:before="20"/>
              <w:jc w:val="right"/>
            </w:pPr>
            <w:r/>
            <w:r>
              <w:rPr>
                <w:rFonts w:ascii="Open Sans" w:hAnsi="Open Sans" w:eastAsia="Open Sans"/>
                <w:b w:val="0"/>
                <w:i w:val="0"/>
                <w:color w:val="222222"/>
                <w:sz w:val="17"/>
              </w:rPr>
              <w:t>676</w:t>
            </w:r>
          </w:p>
        </w:tc>
        <w:tc>
          <w:tcPr>
            <w:tcW w:type="dxa" w:w="1361"/>
            <w:shd w:val="clear" w:fill="F8F9FA"/>
          </w:tcPr>
          <w:p>
            <w:pPr>
              <w:spacing w:after="20" w:before="20"/>
              <w:jc w:val="right"/>
            </w:pPr>
            <w:r/>
            <w:r>
              <w:rPr>
                <w:rFonts w:ascii="Open Sans" w:hAnsi="Open Sans" w:eastAsia="Open Sans"/>
                <w:b w:val="0"/>
                <w:i w:val="0"/>
                <w:color w:val="222222"/>
                <w:sz w:val="17"/>
              </w:rPr>
              <w:t>667</w:t>
            </w:r>
          </w:p>
        </w:tc>
        <w:tc>
          <w:tcPr>
            <w:tcW w:type="dxa" w:w="2154"/>
            <w:shd w:val="clear" w:fill="F8F9FA"/>
          </w:tcPr>
          <w:p>
            <w:pPr>
              <w:spacing w:after="20" w:before="20"/>
              <w:jc w:val="right"/>
            </w:pPr>
            <w:r/>
            <w:r>
              <w:rPr>
                <w:rFonts w:ascii="Open Sans" w:hAnsi="Open Sans" w:eastAsia="Open Sans"/>
                <w:b w:val="0"/>
                <w:i w:val="0"/>
                <w:color w:val="222222"/>
                <w:sz w:val="17"/>
              </w:rPr>
              <w:t>3,0%</w:t>
            </w:r>
          </w:p>
        </w:tc>
      </w:tr>
      <w:tr>
        <w:tc>
          <w:tcPr>
            <w:tcW w:type="dxa" w:w="4309"/>
          </w:tcPr>
          <w:p>
            <w:pPr>
              <w:spacing w:after="20" w:before="20"/>
            </w:pPr>
            <w:r/>
            <w:r>
              <w:rPr>
                <w:rFonts w:ascii="Open Sans" w:hAnsi="Open Sans" w:eastAsia="Open Sans"/>
                <w:b w:val="0"/>
                <w:i w:val="0"/>
                <w:color w:val="222222"/>
                <w:sz w:val="17"/>
              </w:rPr>
              <w:t>No hay acuerdo de pago</w:t>
            </w:r>
          </w:p>
        </w:tc>
        <w:tc>
          <w:tcPr>
            <w:tcW w:type="dxa" w:w="1474"/>
          </w:tcPr>
          <w:p>
            <w:pPr>
              <w:spacing w:after="20" w:before="20"/>
              <w:jc w:val="right"/>
            </w:pPr>
            <w:r/>
            <w:r>
              <w:rPr>
                <w:rFonts w:ascii="Open Sans" w:hAnsi="Open Sans" w:eastAsia="Open Sans"/>
                <w:b w:val="0"/>
                <w:i w:val="0"/>
                <w:color w:val="222222"/>
                <w:sz w:val="17"/>
              </w:rPr>
              <w:t>480</w:t>
            </w:r>
          </w:p>
        </w:tc>
        <w:tc>
          <w:tcPr>
            <w:tcW w:type="dxa" w:w="1361"/>
          </w:tcPr>
          <w:p>
            <w:pPr>
              <w:spacing w:after="20" w:before="20"/>
              <w:jc w:val="right"/>
            </w:pPr>
            <w:r/>
            <w:r>
              <w:rPr>
                <w:rFonts w:ascii="Open Sans" w:hAnsi="Open Sans" w:eastAsia="Open Sans"/>
                <w:b w:val="0"/>
                <w:i w:val="0"/>
                <w:color w:val="222222"/>
                <w:sz w:val="17"/>
              </w:rPr>
              <w:t>466</w:t>
            </w:r>
          </w:p>
        </w:tc>
        <w:tc>
          <w:tcPr>
            <w:tcW w:type="dxa" w:w="2154"/>
          </w:tcPr>
          <w:p>
            <w:pPr>
              <w:spacing w:after="20" w:before="20"/>
              <w:jc w:val="right"/>
            </w:pPr>
            <w:r/>
            <w:r>
              <w:rPr>
                <w:rFonts w:ascii="Open Sans" w:hAnsi="Open Sans" w:eastAsia="Open Sans"/>
                <w:b w:val="0"/>
                <w:i w:val="0"/>
                <w:color w:val="222222"/>
                <w:sz w:val="17"/>
              </w:rPr>
              <w:t>2,1%</w:t>
            </w:r>
          </w:p>
        </w:tc>
      </w:tr>
    </w:tbl>
    <w:p>
      <w:pPr>
        <w:spacing w:after="60" w:before="0" w:line="264" w:lineRule="auto"/>
      </w:pPr>
    </w:p>
    <w:p>
      <w:pPr>
        <w:spacing w:after="60" w:line="259" w:lineRule="auto"/>
        <w:ind w:left="312"/>
      </w:pPr>
      <w:r>
        <w:rPr>
          <w:rFonts w:ascii="Open Sans" w:hAnsi="Open Sans" w:eastAsia="Open Sans"/>
          <w:b/>
          <w:i w:val="0"/>
          <w:color w:val="007A33"/>
          <w:sz w:val="20"/>
        </w:rPr>
        <w:t xml:space="preserve">▪  </w:t>
      </w:r>
      <w:r>
        <w:rPr>
          <w:rFonts w:ascii="Open Sans" w:hAnsi="Open Sans" w:eastAsia="Open Sans"/>
          <w:b/>
          <w:i w:val="0"/>
          <w:color w:val="1B365D"/>
          <w:sz w:val="19"/>
        </w:rPr>
        <w:t xml:space="preserve">Dispersión del esfuerzo: </w:t>
      </w:r>
      <w:r>
        <w:rPr>
          <w:rFonts w:ascii="Open Sans" w:hAnsi="Open Sans" w:eastAsia="Open Sans"/>
          <w:b w:val="0"/>
          <w:i w:val="0"/>
          <w:color w:val="222222"/>
          <w:sz w:val="19"/>
        </w:rPr>
        <w:t>con el conteo corregido la carga va de 986 a 3.388 gestiones por asesor, con un promedio de 1.638. El asesor más activo concentra el 14,8% del total, muy lejos del 17,7% que reportamos antes: el equipo está bastante más parejo de lo que sugería la versión anterior.</w:t>
      </w:r>
    </w:p>
    <w:p>
      <w:pPr>
        <w:spacing w:after="60" w:line="259" w:lineRule="auto"/>
        <w:ind w:left="312"/>
      </w:pPr>
      <w:r>
        <w:rPr>
          <w:rFonts w:ascii="Open Sans" w:hAnsi="Open Sans" w:eastAsia="Open Sans"/>
          <w:b/>
          <w:i w:val="0"/>
          <w:color w:val="007A33"/>
          <w:sz w:val="20"/>
        </w:rPr>
        <w:t xml:space="preserve">▪  </w:t>
      </w:r>
      <w:r>
        <w:rPr>
          <w:rFonts w:ascii="Open Sans" w:hAnsi="Open Sans" w:eastAsia="Open Sans"/>
          <w:b/>
          <w:i w:val="0"/>
          <w:color w:val="1B365D"/>
          <w:sz w:val="19"/>
        </w:rPr>
        <w:t xml:space="preserve">Contactabilidad efectiva: </w:t>
      </w:r>
      <w:r>
        <w:rPr>
          <w:rFonts w:ascii="Open Sans" w:hAnsi="Open Sans" w:eastAsia="Open Sans"/>
          <w:b w:val="0"/>
          <w:i w:val="0"/>
          <w:color w:val="222222"/>
          <w:sz w:val="19"/>
        </w:rPr>
        <w:t>una de cada cuatro gestiones (26,0%) termina en «no contesta». Es el mayor punto de fuga y apunta a calidad del dato de contacto, no a falta de trabajo.</w:t>
      </w:r>
    </w:p>
    <w:p>
      <w:r>
        <w:br w:type="page"/>
      </w:r>
    </w:p>
    <w:p>
      <w:pPr>
        <w:spacing w:before="140" w:after="60"/>
      </w:pPr>
      <w:r>
        <w:rPr>
          <w:rFonts w:ascii="Montserrat" w:hAnsi="Montserrat" w:eastAsia="Montserrat"/>
          <w:b/>
          <w:i w:val="0"/>
          <w:color w:val="0C2340"/>
          <w:sz w:val="25"/>
        </w:rPr>
        <w:t>5.  Recaudo atribuible a la gestión</w:t>
      </w:r>
    </w:p>
    <w:tbl>
      <w:tblPr>
        <w:tblW w:type="auto" w:w="0"/>
        <w:jc w:val="center"/>
        <w:tblLook w:firstColumn="1" w:firstRow="1" w:lastColumn="0" w:lastRow="0" w:noHBand="0" w:noVBand="1" w:val="04A0"/>
      </w:tblPr>
      <w:tblGrid>
        <w:gridCol w:w="2465"/>
        <w:gridCol w:w="2465"/>
        <w:gridCol w:w="2465"/>
        <w:gridCol w:w="2465"/>
      </w:tblGrid>
      <w:tr>
        <w:tc>
          <w:tcPr>
            <w:tcW w:type="dxa" w:w="2465"/>
          </w:tcPr>
          <w:p>
            <w:pPr>
              <w:spacing w:after="20" w:before="20"/>
              <w:jc w:val="center"/>
            </w:pPr>
            <w:r/>
            <w:r>
              <w:rPr>
                <w:rFonts w:ascii="Montserrat" w:hAnsi="Montserrat" w:eastAsia="Montserrat"/>
                <w:b/>
                <w:i w:val="0"/>
                <w:color w:val="00859B"/>
                <w:sz w:val="30"/>
              </w:rPr>
              <w:t>9.281</w:t>
            </w:r>
          </w:p>
        </w:tc>
        <w:tc>
          <w:tcPr>
            <w:tcW w:type="dxa" w:w="2465"/>
          </w:tcPr>
          <w:p>
            <w:pPr>
              <w:spacing w:after="20" w:before="20"/>
              <w:jc w:val="center"/>
            </w:pPr>
            <w:r/>
            <w:r>
              <w:rPr>
                <w:rFonts w:ascii="Montserrat" w:hAnsi="Montserrat" w:eastAsia="Montserrat"/>
                <w:b/>
                <w:i w:val="0"/>
                <w:color w:val="00859B"/>
                <w:sz w:val="30"/>
              </w:rPr>
              <w:t>5.767</w:t>
            </w:r>
          </w:p>
        </w:tc>
        <w:tc>
          <w:tcPr>
            <w:tcW w:type="dxa" w:w="2465"/>
          </w:tcPr>
          <w:p>
            <w:pPr>
              <w:spacing w:after="20" w:before="20"/>
              <w:jc w:val="center"/>
            </w:pPr>
            <w:r/>
            <w:r>
              <w:rPr>
                <w:rFonts w:ascii="Montserrat" w:hAnsi="Montserrat" w:eastAsia="Montserrat"/>
                <w:b/>
                <w:i w:val="0"/>
                <w:color w:val="00859B"/>
                <w:sz w:val="30"/>
              </w:rPr>
              <w:t>$2.408</w:t>
            </w:r>
          </w:p>
        </w:tc>
        <w:tc>
          <w:tcPr>
            <w:tcW w:type="dxa" w:w="2465"/>
          </w:tcPr>
          <w:p>
            <w:pPr>
              <w:spacing w:after="20" w:before="20"/>
              <w:jc w:val="center"/>
            </w:pPr>
            <w:r/>
            <w:r>
              <w:rPr>
                <w:rFonts w:ascii="Montserrat" w:hAnsi="Montserrat" w:eastAsia="Montserrat"/>
                <w:b/>
                <w:i w:val="0"/>
                <w:color w:val="00859B"/>
                <w:sz w:val="30"/>
              </w:rPr>
              <w:t>$259.537</w:t>
            </w:r>
          </w:p>
        </w:tc>
      </w:tr>
      <w:tr>
        <w:tc>
          <w:tcPr>
            <w:tcW w:type="dxa" w:w="2465"/>
          </w:tcPr>
          <w:p>
            <w:pPr>
              <w:spacing w:after="20" w:before="20"/>
              <w:jc w:val="center"/>
            </w:pPr>
            <w:r/>
            <w:r>
              <w:rPr>
                <w:rFonts w:ascii="Open Sans" w:hAnsi="Open Sans" w:eastAsia="Open Sans"/>
                <w:b w:val="0"/>
                <w:i w:val="0"/>
                <w:color w:val="898D8D"/>
                <w:sz w:val="16"/>
              </w:rPr>
              <w:t>PAGOS ATRIBUIBLES</w:t>
            </w:r>
          </w:p>
        </w:tc>
        <w:tc>
          <w:tcPr>
            <w:tcW w:type="dxa" w:w="2465"/>
          </w:tcPr>
          <w:p>
            <w:pPr>
              <w:spacing w:after="20" w:before="20"/>
              <w:jc w:val="center"/>
            </w:pPr>
            <w:r/>
            <w:r>
              <w:rPr>
                <w:rFonts w:ascii="Open Sans" w:hAnsi="Open Sans" w:eastAsia="Open Sans"/>
                <w:b w:val="0"/>
                <w:i w:val="0"/>
                <w:color w:val="898D8D"/>
                <w:sz w:val="16"/>
              </w:rPr>
              <w:t>ESTUDIANTES</w:t>
            </w:r>
          </w:p>
        </w:tc>
        <w:tc>
          <w:tcPr>
            <w:tcW w:type="dxa" w:w="2465"/>
          </w:tcPr>
          <w:p>
            <w:pPr>
              <w:spacing w:after="20" w:before="20"/>
              <w:jc w:val="center"/>
            </w:pPr>
            <w:r/>
            <w:r>
              <w:rPr>
                <w:rFonts w:ascii="Open Sans" w:hAnsi="Open Sans" w:eastAsia="Open Sans"/>
                <w:b w:val="0"/>
                <w:i w:val="0"/>
                <w:color w:val="898D8D"/>
                <w:sz w:val="16"/>
              </w:rPr>
              <w:t>MILLONES</w:t>
            </w:r>
          </w:p>
        </w:tc>
        <w:tc>
          <w:tcPr>
            <w:tcW w:type="dxa" w:w="2465"/>
          </w:tcPr>
          <w:p>
            <w:pPr>
              <w:spacing w:after="20" w:before="20"/>
              <w:jc w:val="center"/>
            </w:pPr>
            <w:r/>
            <w:r>
              <w:rPr>
                <w:rFonts w:ascii="Open Sans" w:hAnsi="Open Sans" w:eastAsia="Open Sans"/>
                <w:b w:val="0"/>
                <w:i w:val="0"/>
                <w:color w:val="898D8D"/>
                <w:sz w:val="16"/>
              </w:rPr>
              <w:t>TICKET PROMEDIO</w:t>
            </w:r>
          </w:p>
        </w:tc>
      </w:tr>
    </w:tbl>
    <w:p>
      <w:pPr>
        <w:spacing w:after="80" w:before="120" w:line="264" w:lineRule="auto"/>
      </w:pPr>
      <w:r>
        <w:rPr>
          <w:rFonts w:ascii="Open Sans" w:hAnsi="Open Sans" w:eastAsia="Open Sans"/>
          <w:b w:val="0"/>
          <w:i w:val="0"/>
          <w:color w:val="222222"/>
          <w:sz w:val="20"/>
        </w:rPr>
        <w:t>Un pago se atribuye a la gestión cuando la persona fue efectivamente gestionada y el pago es posterior a la primera gestión sobre ella. Las cifras son lo que los asesores registraron en el CRM, no el recaudo institucional de caja.</w:t>
      </w:r>
    </w:p>
    <w:p>
      <w:pPr>
        <w:spacing w:after="60" w:before="0" w:line="264" w:lineRule="auto"/>
      </w:pPr>
      <w:r>
        <w:rPr>
          <w:rFonts w:ascii="Montserrat" w:hAnsi="Montserrat" w:eastAsia="Montserrat"/>
          <w:b/>
          <w:i w:val="0"/>
          <w:color w:val="1B365D"/>
          <w:sz w:val="20"/>
        </w:rPr>
        <w:t>Conciliación con lo publicado el 2 de septiembre</w:t>
      </w:r>
    </w:p>
    <w:tbl>
      <w:tblPr>
        <w:tblStyle w:val="TableGrid"/>
        <w:tblW w:type="auto" w:w="0"/>
        <w:jc w:val="center"/>
        <w:tblLook w:firstColumn="1" w:firstRow="1" w:lastColumn="0" w:lastRow="0" w:noHBand="0" w:noVBand="1" w:val="04A0"/>
      </w:tblPr>
      <w:tblGrid>
        <w:gridCol w:w="2465"/>
        <w:gridCol w:w="2465"/>
        <w:gridCol w:w="2465"/>
        <w:gridCol w:w="2465"/>
      </w:tblGrid>
      <w:tr>
        <w:tc>
          <w:tcPr>
            <w:tcW w:type="dxa" w:w="4195"/>
            <w:shd w:val="clear" w:fill="0C2340"/>
          </w:tcPr>
          <w:p>
            <w:pPr>
              <w:spacing w:after="20" w:before="20"/>
            </w:pPr>
            <w:r/>
            <w:r>
              <w:rPr>
                <w:rFonts w:ascii="Montserrat" w:hAnsi="Montserrat" w:eastAsia="Montserrat"/>
                <w:b/>
                <w:i w:val="0"/>
                <w:color w:val="FFFFFF"/>
                <w:sz w:val="17"/>
              </w:rPr>
              <w:t>Concepto</w:t>
            </w:r>
          </w:p>
        </w:tc>
        <w:tc>
          <w:tcPr>
            <w:tcW w:type="dxa" w:w="1474"/>
            <w:shd w:val="clear" w:fill="0C2340"/>
          </w:tcPr>
          <w:p>
            <w:pPr>
              <w:spacing w:after="20" w:before="20"/>
              <w:jc w:val="right"/>
            </w:pPr>
            <w:r/>
            <w:r>
              <w:rPr>
                <w:rFonts w:ascii="Montserrat" w:hAnsi="Montserrat" w:eastAsia="Montserrat"/>
                <w:b/>
                <w:i w:val="0"/>
                <w:color w:val="FFFFFF"/>
                <w:sz w:val="17"/>
              </w:rPr>
              <w:t>Pagos</w:t>
            </w:r>
          </w:p>
        </w:tc>
        <w:tc>
          <w:tcPr>
            <w:tcW w:type="dxa" w:w="1531"/>
            <w:shd w:val="clear" w:fill="0C2340"/>
          </w:tcPr>
          <w:p>
            <w:pPr>
              <w:spacing w:after="20" w:before="20"/>
              <w:jc w:val="right"/>
            </w:pPr>
            <w:r/>
            <w:r>
              <w:rPr>
                <w:rFonts w:ascii="Montserrat" w:hAnsi="Montserrat" w:eastAsia="Montserrat"/>
                <w:b/>
                <w:i w:val="0"/>
                <w:color w:val="FFFFFF"/>
                <w:sz w:val="17"/>
              </w:rPr>
              <w:t>Estudiantes</w:t>
            </w:r>
          </w:p>
        </w:tc>
        <w:tc>
          <w:tcPr>
            <w:tcW w:type="dxa" w:w="1587"/>
            <w:shd w:val="clear" w:fill="0C2340"/>
          </w:tcPr>
          <w:p>
            <w:pPr>
              <w:spacing w:after="20" w:before="20"/>
              <w:jc w:val="right"/>
            </w:pPr>
            <w:r/>
            <w:r>
              <w:rPr>
                <w:rFonts w:ascii="Montserrat" w:hAnsi="Montserrat" w:eastAsia="Montserrat"/>
                <w:b/>
                <w:i w:val="0"/>
                <w:color w:val="FFFFFF"/>
                <w:sz w:val="17"/>
              </w:rPr>
              <w:t>Valor ($ MM)</w:t>
            </w:r>
          </w:p>
        </w:tc>
      </w:tr>
      <w:tr>
        <w:tc>
          <w:tcPr>
            <w:tcW w:type="dxa" w:w="4195"/>
          </w:tcPr>
          <w:p>
            <w:pPr>
              <w:spacing w:after="20" w:before="20"/>
            </w:pPr>
            <w:r/>
            <w:r>
              <w:rPr>
                <w:rFonts w:ascii="Open Sans" w:hAnsi="Open Sans" w:eastAsia="Open Sans"/>
                <w:b w:val="0"/>
                <w:i w:val="0"/>
                <w:color w:val="222222"/>
                <w:sz w:val="17"/>
              </w:rPr>
              <w:t>Publicado el 2 de septiembre</w:t>
            </w:r>
          </w:p>
        </w:tc>
        <w:tc>
          <w:tcPr>
            <w:tcW w:type="dxa" w:w="1474"/>
          </w:tcPr>
          <w:p>
            <w:pPr>
              <w:spacing w:after="20" w:before="20"/>
              <w:jc w:val="right"/>
            </w:pPr>
            <w:r/>
            <w:r>
              <w:rPr>
                <w:rFonts w:ascii="Open Sans" w:hAnsi="Open Sans" w:eastAsia="Open Sans"/>
                <w:b w:val="0"/>
                <w:i w:val="0"/>
                <w:color w:val="222222"/>
                <w:sz w:val="17"/>
              </w:rPr>
              <w:t>19.002</w:t>
            </w:r>
          </w:p>
        </w:tc>
        <w:tc>
          <w:tcPr>
            <w:tcW w:type="dxa" w:w="1531"/>
          </w:tcPr>
          <w:p>
            <w:pPr>
              <w:spacing w:after="20" w:before="20"/>
              <w:jc w:val="right"/>
            </w:pPr>
            <w:r/>
            <w:r>
              <w:rPr>
                <w:rFonts w:ascii="Open Sans" w:hAnsi="Open Sans" w:eastAsia="Open Sans"/>
                <w:b w:val="0"/>
                <w:i w:val="0"/>
                <w:color w:val="222222"/>
                <w:sz w:val="17"/>
              </w:rPr>
              <w:t>11.804</w:t>
            </w:r>
          </w:p>
        </w:tc>
        <w:tc>
          <w:tcPr>
            <w:tcW w:type="dxa" w:w="1587"/>
          </w:tcPr>
          <w:p>
            <w:pPr>
              <w:spacing w:after="20" w:before="20"/>
              <w:jc w:val="right"/>
            </w:pPr>
            <w:r/>
            <w:r>
              <w:rPr>
                <w:rFonts w:ascii="Open Sans" w:hAnsi="Open Sans" w:eastAsia="Open Sans"/>
                <w:b w:val="0"/>
                <w:i w:val="0"/>
                <w:color w:val="222222"/>
                <w:sz w:val="17"/>
              </w:rPr>
              <w:t>5.483,9</w:t>
            </w:r>
          </w:p>
        </w:tc>
      </w:tr>
      <w:tr>
        <w:tc>
          <w:tcPr>
            <w:tcW w:type="dxa" w:w="4195"/>
            <w:shd w:val="clear" w:fill="F8F9FA"/>
          </w:tcPr>
          <w:p>
            <w:pPr>
              <w:spacing w:after="20" w:before="20"/>
            </w:pPr>
            <w:r/>
            <w:r>
              <w:rPr>
                <w:rFonts w:ascii="Open Sans" w:hAnsi="Open Sans" w:eastAsia="Open Sans"/>
                <w:b w:val="0"/>
                <w:i w:val="0"/>
                <w:color w:val="222222"/>
                <w:sz w:val="17"/>
              </w:rPr>
              <w:t>(–) De personas que nadie gestionó</w:t>
            </w:r>
          </w:p>
        </w:tc>
        <w:tc>
          <w:tcPr>
            <w:tcW w:type="dxa" w:w="1474"/>
            <w:shd w:val="clear" w:fill="F8F9FA"/>
          </w:tcPr>
          <w:p>
            <w:pPr>
              <w:spacing w:after="20" w:before="20"/>
              <w:jc w:val="right"/>
            </w:pPr>
            <w:r/>
            <w:r>
              <w:rPr>
                <w:rFonts w:ascii="Open Sans" w:hAnsi="Open Sans" w:eastAsia="Open Sans"/>
                <w:b w:val="0"/>
                <w:i w:val="0"/>
                <w:color w:val="222222"/>
                <w:sz w:val="17"/>
              </w:rPr>
              <w:t>5.158</w:t>
            </w:r>
          </w:p>
        </w:tc>
        <w:tc>
          <w:tcPr>
            <w:tcW w:type="dxa" w:w="1531"/>
            <w:shd w:val="clear" w:fill="F8F9FA"/>
          </w:tcPr>
          <w:p>
            <w:pPr>
              <w:spacing w:after="20" w:before="20"/>
              <w:jc w:val="right"/>
            </w:pPr>
            <w:r/>
            <w:r>
              <w:rPr>
                <w:rFonts w:ascii="Open Sans" w:hAnsi="Open Sans" w:eastAsia="Open Sans"/>
                <w:b w:val="0"/>
                <w:i w:val="0"/>
                <w:color w:val="222222"/>
                <w:sz w:val="17"/>
              </w:rPr>
              <w:t>2.963</w:t>
            </w:r>
          </w:p>
        </w:tc>
        <w:tc>
          <w:tcPr>
            <w:tcW w:type="dxa" w:w="1587"/>
            <w:shd w:val="clear" w:fill="F8F9FA"/>
          </w:tcPr>
          <w:p>
            <w:pPr>
              <w:spacing w:after="20" w:before="20"/>
              <w:jc w:val="right"/>
            </w:pPr>
            <w:r/>
            <w:r>
              <w:rPr>
                <w:rFonts w:ascii="Open Sans" w:hAnsi="Open Sans" w:eastAsia="Open Sans"/>
                <w:b w:val="0"/>
                <w:i w:val="0"/>
                <w:color w:val="222222"/>
                <w:sz w:val="17"/>
              </w:rPr>
              <w:t>1.849,5</w:t>
            </w:r>
          </w:p>
        </w:tc>
      </w:tr>
      <w:tr>
        <w:tc>
          <w:tcPr>
            <w:tcW w:type="dxa" w:w="4195"/>
          </w:tcPr>
          <w:p>
            <w:pPr>
              <w:spacing w:after="20" w:before="20"/>
            </w:pPr>
            <w:r/>
            <w:r>
              <w:rPr>
                <w:rFonts w:ascii="Open Sans" w:hAnsi="Open Sans" w:eastAsia="Open Sans"/>
                <w:b w:val="0"/>
                <w:i w:val="0"/>
                <w:color w:val="222222"/>
                <w:sz w:val="17"/>
              </w:rPr>
              <w:t>(–) Pago anterior a la primera gestión</w:t>
            </w:r>
          </w:p>
        </w:tc>
        <w:tc>
          <w:tcPr>
            <w:tcW w:type="dxa" w:w="1474"/>
          </w:tcPr>
          <w:p>
            <w:pPr>
              <w:spacing w:after="20" w:before="20"/>
              <w:jc w:val="right"/>
            </w:pPr>
            <w:r/>
            <w:r>
              <w:rPr>
                <w:rFonts w:ascii="Open Sans" w:hAnsi="Open Sans" w:eastAsia="Open Sans"/>
                <w:b w:val="0"/>
                <w:i w:val="0"/>
                <w:color w:val="222222"/>
                <w:sz w:val="17"/>
              </w:rPr>
              <w:t>4.855</w:t>
            </w:r>
          </w:p>
        </w:tc>
        <w:tc>
          <w:tcPr>
            <w:tcW w:type="dxa" w:w="1531"/>
          </w:tcPr>
          <w:p>
            <w:pPr>
              <w:spacing w:after="20" w:before="20"/>
              <w:jc w:val="right"/>
            </w:pPr>
            <w:r/>
            <w:r>
              <w:rPr>
                <w:rFonts w:ascii="Open Sans" w:hAnsi="Open Sans" w:eastAsia="Open Sans"/>
                <w:b w:val="0"/>
                <w:i w:val="0"/>
                <w:color w:val="222222"/>
                <w:sz w:val="17"/>
              </w:rPr>
              <w:t>3.519</w:t>
            </w:r>
          </w:p>
        </w:tc>
        <w:tc>
          <w:tcPr>
            <w:tcW w:type="dxa" w:w="1587"/>
          </w:tcPr>
          <w:p>
            <w:pPr>
              <w:spacing w:after="20" w:before="20"/>
              <w:jc w:val="right"/>
            </w:pPr>
            <w:r/>
            <w:r>
              <w:rPr>
                <w:rFonts w:ascii="Open Sans" w:hAnsi="Open Sans" w:eastAsia="Open Sans"/>
                <w:b w:val="0"/>
                <w:i w:val="0"/>
                <w:color w:val="222222"/>
                <w:sz w:val="17"/>
              </w:rPr>
              <w:t>1.292,4</w:t>
            </w:r>
          </w:p>
        </w:tc>
      </w:tr>
      <w:tr>
        <w:tc>
          <w:tcPr>
            <w:tcW w:type="dxa" w:w="4195"/>
            <w:shd w:val="clear" w:fill="F8F9FA"/>
          </w:tcPr>
          <w:p>
            <w:pPr>
              <w:spacing w:after="20" w:before="20"/>
            </w:pPr>
            <w:r/>
            <w:r>
              <w:rPr>
                <w:rFonts w:ascii="Open Sans" w:hAnsi="Open Sans" w:eastAsia="Open Sans"/>
                <w:b w:val="0"/>
                <w:i w:val="0"/>
                <w:color w:val="222222"/>
                <w:sz w:val="17"/>
              </w:rPr>
              <w:t>(=) Atribuible a la gestión del equipo</w:t>
            </w:r>
          </w:p>
        </w:tc>
        <w:tc>
          <w:tcPr>
            <w:tcW w:type="dxa" w:w="1474"/>
            <w:shd w:val="clear" w:fill="F8F9FA"/>
          </w:tcPr>
          <w:p>
            <w:pPr>
              <w:spacing w:after="20" w:before="20"/>
              <w:jc w:val="right"/>
            </w:pPr>
            <w:r/>
            <w:r>
              <w:rPr>
                <w:rFonts w:ascii="Open Sans" w:hAnsi="Open Sans" w:eastAsia="Open Sans"/>
                <w:b w:val="0"/>
                <w:i w:val="0"/>
                <w:color w:val="222222"/>
                <w:sz w:val="17"/>
              </w:rPr>
              <w:t>9.281</w:t>
            </w:r>
          </w:p>
        </w:tc>
        <w:tc>
          <w:tcPr>
            <w:tcW w:type="dxa" w:w="1531"/>
            <w:shd w:val="clear" w:fill="F8F9FA"/>
          </w:tcPr>
          <w:p>
            <w:pPr>
              <w:spacing w:after="20" w:before="20"/>
              <w:jc w:val="right"/>
            </w:pPr>
            <w:r/>
            <w:r>
              <w:rPr>
                <w:rFonts w:ascii="Open Sans" w:hAnsi="Open Sans" w:eastAsia="Open Sans"/>
                <w:b w:val="0"/>
                <w:i w:val="0"/>
                <w:color w:val="222222"/>
                <w:sz w:val="17"/>
              </w:rPr>
              <w:t>5.767</w:t>
            </w:r>
          </w:p>
        </w:tc>
        <w:tc>
          <w:tcPr>
            <w:tcW w:type="dxa" w:w="1587"/>
            <w:shd w:val="clear" w:fill="F8F9FA"/>
          </w:tcPr>
          <w:p>
            <w:pPr>
              <w:spacing w:after="20" w:before="20"/>
              <w:jc w:val="right"/>
            </w:pPr>
            <w:r/>
            <w:r>
              <w:rPr>
                <w:rFonts w:ascii="Open Sans" w:hAnsi="Open Sans" w:eastAsia="Open Sans"/>
                <w:b w:val="0"/>
                <w:i w:val="0"/>
                <w:color w:val="222222"/>
                <w:sz w:val="17"/>
              </w:rPr>
              <w:t>2.408,8</w:t>
            </w:r>
          </w:p>
        </w:tc>
      </w:tr>
    </w:tbl>
    <w:p>
      <w:pPr>
        <w:spacing w:after="60" w:before="0" w:line="264" w:lineRule="auto"/>
      </w:pPr>
    </w:p>
    <w:p>
      <w:pPr>
        <w:spacing w:after="60" w:before="0" w:line="264" w:lineRule="auto"/>
      </w:pPr>
      <w:r>
        <w:rPr>
          <w:rFonts w:ascii="Montserrat" w:hAnsi="Montserrat" w:eastAsia="Montserrat"/>
          <w:b/>
          <w:i w:val="0"/>
          <w:color w:val="1B365D"/>
          <w:sz w:val="20"/>
        </w:rPr>
        <w:t>Recaudo atribuible por periodo académico</w:t>
      </w:r>
    </w:p>
    <w:tbl>
      <w:tblPr>
        <w:tblStyle w:val="TableGrid"/>
        <w:tblW w:type="auto" w:w="0"/>
        <w:jc w:val="center"/>
        <w:tblLook w:firstColumn="1" w:firstRow="1" w:lastColumn="0" w:lastRow="0" w:noHBand="0" w:noVBand="1" w:val="04A0"/>
      </w:tblPr>
      <w:tblGrid>
        <w:gridCol w:w="1972"/>
        <w:gridCol w:w="1972"/>
        <w:gridCol w:w="1972"/>
        <w:gridCol w:w="1972"/>
        <w:gridCol w:w="1972"/>
      </w:tblGrid>
      <w:tr>
        <w:tc>
          <w:tcPr>
            <w:tcW w:type="dxa" w:w="2041"/>
            <w:shd w:val="clear" w:fill="0C2340"/>
          </w:tcPr>
          <w:p>
            <w:pPr>
              <w:spacing w:after="20" w:before="20"/>
            </w:pPr>
            <w:r/>
            <w:r>
              <w:rPr>
                <w:rFonts w:ascii="Montserrat" w:hAnsi="Montserrat" w:eastAsia="Montserrat"/>
                <w:b/>
                <w:i w:val="0"/>
                <w:color w:val="FFFFFF"/>
                <w:sz w:val="17"/>
              </w:rPr>
              <w:t>Periodo</w:t>
            </w:r>
          </w:p>
        </w:tc>
        <w:tc>
          <w:tcPr>
            <w:tcW w:type="dxa" w:w="1474"/>
            <w:shd w:val="clear" w:fill="0C2340"/>
          </w:tcPr>
          <w:p>
            <w:pPr>
              <w:spacing w:after="20" w:before="20"/>
              <w:jc w:val="right"/>
            </w:pPr>
            <w:r/>
            <w:r>
              <w:rPr>
                <w:rFonts w:ascii="Montserrat" w:hAnsi="Montserrat" w:eastAsia="Montserrat"/>
                <w:b/>
                <w:i w:val="0"/>
                <w:color w:val="FFFFFF"/>
                <w:sz w:val="17"/>
              </w:rPr>
              <w:t>Pagos</w:t>
            </w:r>
          </w:p>
        </w:tc>
        <w:tc>
          <w:tcPr>
            <w:tcW w:type="dxa" w:w="1644"/>
            <w:shd w:val="clear" w:fill="0C2340"/>
          </w:tcPr>
          <w:p>
            <w:pPr>
              <w:spacing w:after="20" w:before="20"/>
              <w:jc w:val="right"/>
            </w:pPr>
            <w:r/>
            <w:r>
              <w:rPr>
                <w:rFonts w:ascii="Montserrat" w:hAnsi="Montserrat" w:eastAsia="Montserrat"/>
                <w:b/>
                <w:i w:val="0"/>
                <w:color w:val="FFFFFF"/>
                <w:sz w:val="17"/>
              </w:rPr>
              <w:t>Estudiantes</w:t>
            </w:r>
          </w:p>
        </w:tc>
        <w:tc>
          <w:tcPr>
            <w:tcW w:type="dxa" w:w="1644"/>
            <w:shd w:val="clear" w:fill="0C2340"/>
          </w:tcPr>
          <w:p>
            <w:pPr>
              <w:spacing w:after="20" w:before="20"/>
              <w:jc w:val="right"/>
            </w:pPr>
            <w:r/>
            <w:r>
              <w:rPr>
                <w:rFonts w:ascii="Montserrat" w:hAnsi="Montserrat" w:eastAsia="Montserrat"/>
                <w:b/>
                <w:i w:val="0"/>
                <w:color w:val="FFFFFF"/>
                <w:sz w:val="17"/>
              </w:rPr>
              <w:t>Valor ($ MM)</w:t>
            </w:r>
          </w:p>
        </w:tc>
        <w:tc>
          <w:tcPr>
            <w:tcW w:type="dxa" w:w="1361"/>
            <w:shd w:val="clear" w:fill="0C2340"/>
          </w:tcPr>
          <w:p>
            <w:pPr>
              <w:spacing w:after="20" w:before="20"/>
              <w:jc w:val="right"/>
            </w:pPr>
            <w:r/>
            <w:r>
              <w:rPr>
                <w:rFonts w:ascii="Montserrat" w:hAnsi="Montserrat" w:eastAsia="Montserrat"/>
                <w:b/>
                <w:i w:val="0"/>
                <w:color w:val="FFFFFF"/>
                <w:sz w:val="17"/>
              </w:rPr>
              <w:t>% valor</w:t>
            </w:r>
          </w:p>
        </w:tc>
      </w:tr>
      <w:tr>
        <w:tc>
          <w:tcPr>
            <w:tcW w:type="dxa" w:w="2041"/>
          </w:tcPr>
          <w:p>
            <w:pPr>
              <w:spacing w:after="20" w:before="20"/>
            </w:pPr>
            <w:r/>
            <w:r>
              <w:rPr>
                <w:rFonts w:ascii="Open Sans" w:hAnsi="Open Sans" w:eastAsia="Open Sans"/>
                <w:b w:val="0"/>
                <w:i w:val="0"/>
                <w:color w:val="222222"/>
                <w:sz w:val="17"/>
              </w:rPr>
              <w:t>26V02</w:t>
            </w:r>
          </w:p>
        </w:tc>
        <w:tc>
          <w:tcPr>
            <w:tcW w:type="dxa" w:w="1474"/>
          </w:tcPr>
          <w:p>
            <w:pPr>
              <w:spacing w:after="20" w:before="20"/>
              <w:jc w:val="right"/>
            </w:pPr>
            <w:r/>
            <w:r>
              <w:rPr>
                <w:rFonts w:ascii="Open Sans" w:hAnsi="Open Sans" w:eastAsia="Open Sans"/>
                <w:b w:val="0"/>
                <w:i w:val="0"/>
                <w:color w:val="222222"/>
                <w:sz w:val="17"/>
              </w:rPr>
              <w:t>2.057</w:t>
            </w:r>
          </w:p>
        </w:tc>
        <w:tc>
          <w:tcPr>
            <w:tcW w:type="dxa" w:w="1644"/>
          </w:tcPr>
          <w:p>
            <w:pPr>
              <w:spacing w:after="20" w:before="20"/>
              <w:jc w:val="right"/>
            </w:pPr>
            <w:r/>
            <w:r>
              <w:rPr>
                <w:rFonts w:ascii="Open Sans" w:hAnsi="Open Sans" w:eastAsia="Open Sans"/>
                <w:b w:val="0"/>
                <w:i w:val="0"/>
                <w:color w:val="222222"/>
                <w:sz w:val="17"/>
              </w:rPr>
              <w:t>1.096</w:t>
            </w:r>
          </w:p>
        </w:tc>
        <w:tc>
          <w:tcPr>
            <w:tcW w:type="dxa" w:w="1644"/>
          </w:tcPr>
          <w:p>
            <w:pPr>
              <w:spacing w:after="20" w:before="20"/>
              <w:jc w:val="right"/>
            </w:pPr>
            <w:r/>
            <w:r>
              <w:rPr>
                <w:rFonts w:ascii="Open Sans" w:hAnsi="Open Sans" w:eastAsia="Open Sans"/>
                <w:b w:val="0"/>
                <w:i w:val="0"/>
                <w:color w:val="222222"/>
                <w:sz w:val="17"/>
              </w:rPr>
              <w:t>447,7</w:t>
            </w:r>
          </w:p>
        </w:tc>
        <w:tc>
          <w:tcPr>
            <w:tcW w:type="dxa" w:w="1361"/>
          </w:tcPr>
          <w:p>
            <w:pPr>
              <w:spacing w:after="20" w:before="20"/>
              <w:jc w:val="right"/>
            </w:pPr>
            <w:r/>
            <w:r>
              <w:rPr>
                <w:rFonts w:ascii="Open Sans" w:hAnsi="Open Sans" w:eastAsia="Open Sans"/>
                <w:b w:val="0"/>
                <w:i w:val="0"/>
                <w:color w:val="222222"/>
                <w:sz w:val="17"/>
              </w:rPr>
              <w:t>18,6%</w:t>
            </w:r>
          </w:p>
        </w:tc>
      </w:tr>
      <w:tr>
        <w:tc>
          <w:tcPr>
            <w:tcW w:type="dxa" w:w="2041"/>
            <w:shd w:val="clear" w:fill="F8F9FA"/>
          </w:tcPr>
          <w:p>
            <w:pPr>
              <w:spacing w:after="20" w:before="20"/>
            </w:pPr>
            <w:r/>
            <w:r>
              <w:rPr>
                <w:rFonts w:ascii="Open Sans" w:hAnsi="Open Sans" w:eastAsia="Open Sans"/>
                <w:b w:val="0"/>
                <w:i w:val="0"/>
                <w:color w:val="222222"/>
                <w:sz w:val="17"/>
              </w:rPr>
              <w:t>26V03</w:t>
            </w:r>
          </w:p>
        </w:tc>
        <w:tc>
          <w:tcPr>
            <w:tcW w:type="dxa" w:w="1474"/>
            <w:shd w:val="clear" w:fill="F8F9FA"/>
          </w:tcPr>
          <w:p>
            <w:pPr>
              <w:spacing w:after="20" w:before="20"/>
              <w:jc w:val="right"/>
            </w:pPr>
            <w:r/>
            <w:r>
              <w:rPr>
                <w:rFonts w:ascii="Open Sans" w:hAnsi="Open Sans" w:eastAsia="Open Sans"/>
                <w:b w:val="0"/>
                <w:i w:val="0"/>
                <w:color w:val="222222"/>
                <w:sz w:val="17"/>
              </w:rPr>
              <w:t>1.790</w:t>
            </w:r>
          </w:p>
        </w:tc>
        <w:tc>
          <w:tcPr>
            <w:tcW w:type="dxa" w:w="1644"/>
            <w:shd w:val="clear" w:fill="F8F9FA"/>
          </w:tcPr>
          <w:p>
            <w:pPr>
              <w:spacing w:after="20" w:before="20"/>
              <w:jc w:val="right"/>
            </w:pPr>
            <w:r/>
            <w:r>
              <w:rPr>
                <w:rFonts w:ascii="Open Sans" w:hAnsi="Open Sans" w:eastAsia="Open Sans"/>
                <w:b w:val="0"/>
                <w:i w:val="0"/>
                <w:color w:val="222222"/>
                <w:sz w:val="17"/>
              </w:rPr>
              <w:t>1.341</w:t>
            </w:r>
          </w:p>
        </w:tc>
        <w:tc>
          <w:tcPr>
            <w:tcW w:type="dxa" w:w="1644"/>
            <w:shd w:val="clear" w:fill="F8F9FA"/>
          </w:tcPr>
          <w:p>
            <w:pPr>
              <w:spacing w:after="20" w:before="20"/>
              <w:jc w:val="right"/>
            </w:pPr>
            <w:r/>
            <w:r>
              <w:rPr>
                <w:rFonts w:ascii="Open Sans" w:hAnsi="Open Sans" w:eastAsia="Open Sans"/>
                <w:b w:val="0"/>
                <w:i w:val="0"/>
                <w:color w:val="222222"/>
                <w:sz w:val="17"/>
              </w:rPr>
              <w:t>334,1</w:t>
            </w:r>
          </w:p>
        </w:tc>
        <w:tc>
          <w:tcPr>
            <w:tcW w:type="dxa" w:w="1361"/>
            <w:shd w:val="clear" w:fill="F8F9FA"/>
          </w:tcPr>
          <w:p>
            <w:pPr>
              <w:spacing w:after="20" w:before="20"/>
              <w:jc w:val="right"/>
            </w:pPr>
            <w:r/>
            <w:r>
              <w:rPr>
                <w:rFonts w:ascii="Open Sans" w:hAnsi="Open Sans" w:eastAsia="Open Sans"/>
                <w:b w:val="0"/>
                <w:i w:val="0"/>
                <w:color w:val="222222"/>
                <w:sz w:val="17"/>
              </w:rPr>
              <w:t>13,9%</w:t>
            </w:r>
          </w:p>
        </w:tc>
      </w:tr>
      <w:tr>
        <w:tc>
          <w:tcPr>
            <w:tcW w:type="dxa" w:w="2041"/>
          </w:tcPr>
          <w:p>
            <w:pPr>
              <w:spacing w:after="20" w:before="20"/>
            </w:pPr>
            <w:r/>
            <w:r>
              <w:rPr>
                <w:rFonts w:ascii="Open Sans" w:hAnsi="Open Sans" w:eastAsia="Open Sans"/>
                <w:b w:val="0"/>
                <w:i w:val="0"/>
                <w:color w:val="222222"/>
                <w:sz w:val="17"/>
              </w:rPr>
              <w:t>26ES3</w:t>
            </w:r>
          </w:p>
        </w:tc>
        <w:tc>
          <w:tcPr>
            <w:tcW w:type="dxa" w:w="1474"/>
          </w:tcPr>
          <w:p>
            <w:pPr>
              <w:spacing w:after="20" w:before="20"/>
              <w:jc w:val="right"/>
            </w:pPr>
            <w:r/>
            <w:r>
              <w:rPr>
                <w:rFonts w:ascii="Open Sans" w:hAnsi="Open Sans" w:eastAsia="Open Sans"/>
                <w:b w:val="0"/>
                <w:i w:val="0"/>
                <w:color w:val="222222"/>
                <w:sz w:val="17"/>
              </w:rPr>
              <w:t>954</w:t>
            </w:r>
          </w:p>
        </w:tc>
        <w:tc>
          <w:tcPr>
            <w:tcW w:type="dxa" w:w="1644"/>
          </w:tcPr>
          <w:p>
            <w:pPr>
              <w:spacing w:after="20" w:before="20"/>
              <w:jc w:val="right"/>
            </w:pPr>
            <w:r/>
            <w:r>
              <w:rPr>
                <w:rFonts w:ascii="Open Sans" w:hAnsi="Open Sans" w:eastAsia="Open Sans"/>
                <w:b w:val="0"/>
                <w:i w:val="0"/>
                <w:color w:val="222222"/>
                <w:sz w:val="17"/>
              </w:rPr>
              <w:t>729</w:t>
            </w:r>
          </w:p>
        </w:tc>
        <w:tc>
          <w:tcPr>
            <w:tcW w:type="dxa" w:w="1644"/>
          </w:tcPr>
          <w:p>
            <w:pPr>
              <w:spacing w:after="20" w:before="20"/>
              <w:jc w:val="right"/>
            </w:pPr>
            <w:r/>
            <w:r>
              <w:rPr>
                <w:rFonts w:ascii="Open Sans" w:hAnsi="Open Sans" w:eastAsia="Open Sans"/>
                <w:b w:val="0"/>
                <w:i w:val="0"/>
                <w:color w:val="222222"/>
                <w:sz w:val="17"/>
              </w:rPr>
              <w:t>276,4</w:t>
            </w:r>
          </w:p>
        </w:tc>
        <w:tc>
          <w:tcPr>
            <w:tcW w:type="dxa" w:w="1361"/>
          </w:tcPr>
          <w:p>
            <w:pPr>
              <w:spacing w:after="20" w:before="20"/>
              <w:jc w:val="right"/>
            </w:pPr>
            <w:r/>
            <w:r>
              <w:rPr>
                <w:rFonts w:ascii="Open Sans" w:hAnsi="Open Sans" w:eastAsia="Open Sans"/>
                <w:b w:val="0"/>
                <w:i w:val="0"/>
                <w:color w:val="222222"/>
                <w:sz w:val="17"/>
              </w:rPr>
              <w:t>11,5%</w:t>
            </w:r>
          </w:p>
        </w:tc>
      </w:tr>
      <w:tr>
        <w:tc>
          <w:tcPr>
            <w:tcW w:type="dxa" w:w="2041"/>
            <w:shd w:val="clear" w:fill="F8F9FA"/>
          </w:tcPr>
          <w:p>
            <w:pPr>
              <w:spacing w:after="20" w:before="20"/>
            </w:pPr>
            <w:r/>
            <w:r>
              <w:rPr>
                <w:rFonts w:ascii="Open Sans" w:hAnsi="Open Sans" w:eastAsia="Open Sans"/>
                <w:b w:val="0"/>
                <w:i w:val="0"/>
                <w:color w:val="222222"/>
                <w:sz w:val="17"/>
              </w:rPr>
              <w:t>26ES2</w:t>
            </w:r>
          </w:p>
        </w:tc>
        <w:tc>
          <w:tcPr>
            <w:tcW w:type="dxa" w:w="1474"/>
            <w:shd w:val="clear" w:fill="F8F9FA"/>
          </w:tcPr>
          <w:p>
            <w:pPr>
              <w:spacing w:after="20" w:before="20"/>
              <w:jc w:val="right"/>
            </w:pPr>
            <w:r/>
            <w:r>
              <w:rPr>
                <w:rFonts w:ascii="Open Sans" w:hAnsi="Open Sans" w:eastAsia="Open Sans"/>
                <w:b w:val="0"/>
                <w:i w:val="0"/>
                <w:color w:val="222222"/>
                <w:sz w:val="17"/>
              </w:rPr>
              <w:t>510</w:t>
            </w:r>
          </w:p>
        </w:tc>
        <w:tc>
          <w:tcPr>
            <w:tcW w:type="dxa" w:w="1644"/>
            <w:shd w:val="clear" w:fill="F8F9FA"/>
          </w:tcPr>
          <w:p>
            <w:pPr>
              <w:spacing w:after="20" w:before="20"/>
              <w:jc w:val="right"/>
            </w:pPr>
            <w:r/>
            <w:r>
              <w:rPr>
                <w:rFonts w:ascii="Open Sans" w:hAnsi="Open Sans" w:eastAsia="Open Sans"/>
                <w:b w:val="0"/>
                <w:i w:val="0"/>
                <w:color w:val="222222"/>
                <w:sz w:val="17"/>
              </w:rPr>
              <w:t>270</w:t>
            </w:r>
          </w:p>
        </w:tc>
        <w:tc>
          <w:tcPr>
            <w:tcW w:type="dxa" w:w="1644"/>
            <w:shd w:val="clear" w:fill="F8F9FA"/>
          </w:tcPr>
          <w:p>
            <w:pPr>
              <w:spacing w:after="20" w:before="20"/>
              <w:jc w:val="right"/>
            </w:pPr>
            <w:r/>
            <w:r>
              <w:rPr>
                <w:rFonts w:ascii="Open Sans" w:hAnsi="Open Sans" w:eastAsia="Open Sans"/>
                <w:b w:val="0"/>
                <w:i w:val="0"/>
                <w:color w:val="222222"/>
                <w:sz w:val="17"/>
              </w:rPr>
              <w:t>218,7</w:t>
            </w:r>
          </w:p>
        </w:tc>
        <w:tc>
          <w:tcPr>
            <w:tcW w:type="dxa" w:w="1361"/>
            <w:shd w:val="clear" w:fill="F8F9FA"/>
          </w:tcPr>
          <w:p>
            <w:pPr>
              <w:spacing w:after="20" w:before="20"/>
              <w:jc w:val="right"/>
            </w:pPr>
            <w:r/>
            <w:r>
              <w:rPr>
                <w:rFonts w:ascii="Open Sans" w:hAnsi="Open Sans" w:eastAsia="Open Sans"/>
                <w:b w:val="0"/>
                <w:i w:val="0"/>
                <w:color w:val="222222"/>
                <w:sz w:val="17"/>
              </w:rPr>
              <w:t>9,1%</w:t>
            </w:r>
          </w:p>
        </w:tc>
      </w:tr>
      <w:tr>
        <w:tc>
          <w:tcPr>
            <w:tcW w:type="dxa" w:w="2041"/>
          </w:tcPr>
          <w:p>
            <w:pPr>
              <w:spacing w:after="20" w:before="20"/>
            </w:pPr>
            <w:r/>
            <w:r>
              <w:rPr>
                <w:rFonts w:ascii="Open Sans" w:hAnsi="Open Sans" w:eastAsia="Open Sans"/>
                <w:b w:val="0"/>
                <w:i w:val="0"/>
                <w:color w:val="222222"/>
                <w:sz w:val="17"/>
              </w:rPr>
              <w:t>26V04</w:t>
            </w:r>
          </w:p>
        </w:tc>
        <w:tc>
          <w:tcPr>
            <w:tcW w:type="dxa" w:w="1474"/>
          </w:tcPr>
          <w:p>
            <w:pPr>
              <w:spacing w:after="20" w:before="20"/>
              <w:jc w:val="right"/>
            </w:pPr>
            <w:r/>
            <w:r>
              <w:rPr>
                <w:rFonts w:ascii="Open Sans" w:hAnsi="Open Sans" w:eastAsia="Open Sans"/>
                <w:b w:val="0"/>
                <w:i w:val="0"/>
                <w:color w:val="222222"/>
                <w:sz w:val="17"/>
              </w:rPr>
              <w:t>831</w:t>
            </w:r>
          </w:p>
        </w:tc>
        <w:tc>
          <w:tcPr>
            <w:tcW w:type="dxa" w:w="1644"/>
          </w:tcPr>
          <w:p>
            <w:pPr>
              <w:spacing w:after="20" w:before="20"/>
              <w:jc w:val="right"/>
            </w:pPr>
            <w:r/>
            <w:r>
              <w:rPr>
                <w:rFonts w:ascii="Open Sans" w:hAnsi="Open Sans" w:eastAsia="Open Sans"/>
                <w:b w:val="0"/>
                <w:i w:val="0"/>
                <w:color w:val="222222"/>
                <w:sz w:val="17"/>
              </w:rPr>
              <w:t>637</w:t>
            </w:r>
          </w:p>
        </w:tc>
        <w:tc>
          <w:tcPr>
            <w:tcW w:type="dxa" w:w="1644"/>
          </w:tcPr>
          <w:p>
            <w:pPr>
              <w:spacing w:after="20" w:before="20"/>
              <w:jc w:val="right"/>
            </w:pPr>
            <w:r/>
            <w:r>
              <w:rPr>
                <w:rFonts w:ascii="Open Sans" w:hAnsi="Open Sans" w:eastAsia="Open Sans"/>
                <w:b w:val="0"/>
                <w:i w:val="0"/>
                <w:color w:val="222222"/>
                <w:sz w:val="17"/>
              </w:rPr>
              <w:t>201,9</w:t>
            </w:r>
          </w:p>
        </w:tc>
        <w:tc>
          <w:tcPr>
            <w:tcW w:type="dxa" w:w="1361"/>
          </w:tcPr>
          <w:p>
            <w:pPr>
              <w:spacing w:after="20" w:before="20"/>
              <w:jc w:val="right"/>
            </w:pPr>
            <w:r/>
            <w:r>
              <w:rPr>
                <w:rFonts w:ascii="Open Sans" w:hAnsi="Open Sans" w:eastAsia="Open Sans"/>
                <w:b w:val="0"/>
                <w:i w:val="0"/>
                <w:color w:val="222222"/>
                <w:sz w:val="17"/>
              </w:rPr>
              <w:t>8,4%</w:t>
            </w:r>
          </w:p>
        </w:tc>
      </w:tr>
      <w:tr>
        <w:tc>
          <w:tcPr>
            <w:tcW w:type="dxa" w:w="2041"/>
            <w:shd w:val="clear" w:fill="F8F9FA"/>
          </w:tcPr>
          <w:p>
            <w:pPr>
              <w:spacing w:after="20" w:before="20"/>
            </w:pPr>
            <w:r/>
            <w:r>
              <w:rPr>
                <w:rFonts w:ascii="Open Sans" w:hAnsi="Open Sans" w:eastAsia="Open Sans"/>
                <w:b w:val="0"/>
                <w:i w:val="0"/>
                <w:color w:val="222222"/>
                <w:sz w:val="17"/>
              </w:rPr>
              <w:t>Resto de periodos</w:t>
            </w:r>
          </w:p>
        </w:tc>
        <w:tc>
          <w:tcPr>
            <w:tcW w:type="dxa" w:w="1474"/>
            <w:shd w:val="clear" w:fill="F8F9FA"/>
          </w:tcPr>
          <w:p>
            <w:pPr>
              <w:spacing w:after="20" w:before="20"/>
              <w:jc w:val="right"/>
            </w:pPr>
            <w:r/>
            <w:r>
              <w:rPr>
                <w:rFonts w:ascii="Open Sans" w:hAnsi="Open Sans" w:eastAsia="Open Sans"/>
                <w:b w:val="0"/>
                <w:i w:val="0"/>
                <w:color w:val="222222"/>
                <w:sz w:val="17"/>
              </w:rPr>
              <w:t>3.139</w:t>
            </w:r>
          </w:p>
        </w:tc>
        <w:tc>
          <w:tcPr>
            <w:tcW w:type="dxa" w:w="1644"/>
            <w:shd w:val="clear" w:fill="F8F9FA"/>
          </w:tcPr>
          <w:p>
            <w:pPr>
              <w:spacing w:after="20" w:before="20"/>
              <w:jc w:val="right"/>
            </w:pPr>
            <w:r/>
            <w:r>
              <w:rPr>
                <w:rFonts w:ascii="Open Sans" w:hAnsi="Open Sans" w:eastAsia="Open Sans"/>
                <w:b w:val="0"/>
                <w:i w:val="0"/>
                <w:color w:val="222222"/>
                <w:sz w:val="17"/>
              </w:rPr>
              <w:t>—</w:t>
            </w:r>
          </w:p>
        </w:tc>
        <w:tc>
          <w:tcPr>
            <w:tcW w:type="dxa" w:w="1644"/>
            <w:shd w:val="clear" w:fill="F8F9FA"/>
          </w:tcPr>
          <w:p>
            <w:pPr>
              <w:spacing w:after="20" w:before="20"/>
              <w:jc w:val="right"/>
            </w:pPr>
            <w:r/>
            <w:r>
              <w:rPr>
                <w:rFonts w:ascii="Open Sans" w:hAnsi="Open Sans" w:eastAsia="Open Sans"/>
                <w:b w:val="0"/>
                <w:i w:val="0"/>
                <w:color w:val="222222"/>
                <w:sz w:val="17"/>
              </w:rPr>
              <w:t>930,0</w:t>
            </w:r>
          </w:p>
        </w:tc>
        <w:tc>
          <w:tcPr>
            <w:tcW w:type="dxa" w:w="1361"/>
            <w:shd w:val="clear" w:fill="F8F9FA"/>
          </w:tcPr>
          <w:p>
            <w:pPr>
              <w:spacing w:after="20" w:before="20"/>
              <w:jc w:val="right"/>
            </w:pPr>
            <w:r/>
            <w:r>
              <w:rPr>
                <w:rFonts w:ascii="Open Sans" w:hAnsi="Open Sans" w:eastAsia="Open Sans"/>
                <w:b w:val="0"/>
                <w:i w:val="0"/>
                <w:color w:val="222222"/>
                <w:sz w:val="17"/>
              </w:rPr>
              <w:t>38,5%</w:t>
            </w:r>
          </w:p>
        </w:tc>
      </w:tr>
    </w:tbl>
    <w:p>
      <w:pPr>
        <w:spacing w:after="60" w:before="0" w:line="264" w:lineRule="auto"/>
      </w:pPr>
    </w:p>
    <w:p>
      <w:pPr>
        <w:spacing w:after="60" w:line="259" w:lineRule="auto"/>
        <w:ind w:left="312"/>
      </w:pPr>
      <w:r>
        <w:rPr>
          <w:rFonts w:ascii="Open Sans" w:hAnsi="Open Sans" w:eastAsia="Open Sans"/>
          <w:b/>
          <w:i w:val="0"/>
          <w:color w:val="007A33"/>
          <w:sz w:val="20"/>
        </w:rPr>
        <w:t xml:space="preserve">▪  </w:t>
      </w:r>
      <w:r>
        <w:rPr>
          <w:rFonts w:ascii="Open Sans" w:hAnsi="Open Sans" w:eastAsia="Open Sans"/>
          <w:b/>
          <w:i w:val="0"/>
          <w:color w:val="1B365D"/>
          <w:sz w:val="19"/>
        </w:rPr>
        <w:t xml:space="preserve">Concentración del valor: </w:t>
      </w:r>
      <w:r>
        <w:rPr>
          <w:rFonts w:ascii="Open Sans" w:hAnsi="Open Sans" w:eastAsia="Open Sans"/>
          <w:b w:val="0"/>
          <w:i w:val="0"/>
          <w:color w:val="222222"/>
          <w:sz w:val="19"/>
        </w:rPr>
        <w:t>el rango de 300 a 600 mil pesos aporta $1.127,2 millones, el 46,8% del valor con el 30% de los pagos. Es la cuota típica del crédito CLTIENE y donde rinde más el esfuerzo de contacto.</w:t>
      </w:r>
    </w:p>
    <w:p>
      <w:r>
        <w:br w:type="page"/>
      </w:r>
    </w:p>
    <w:p>
      <w:pPr>
        <w:spacing w:before="140" w:after="60"/>
      </w:pPr>
      <w:r>
        <w:rPr>
          <w:rFonts w:ascii="Montserrat" w:hAnsi="Montserrat" w:eastAsia="Montserrat"/>
          <w:b/>
          <w:i w:val="0"/>
          <w:color w:val="0C2340"/>
          <w:sz w:val="25"/>
        </w:rPr>
        <w:t>6.  Liquidación por asesor — agosto 2026</w:t>
      </w:r>
    </w:p>
    <w:p>
      <w:pPr>
        <w:spacing w:after="80" w:before="0" w:line="264" w:lineRule="auto"/>
      </w:pPr>
      <w:r>
        <w:rPr>
          <w:rFonts w:ascii="Open Sans" w:hAnsi="Open Sans" w:eastAsia="Open Sans"/>
          <w:b w:val="0"/>
          <w:i w:val="0"/>
          <w:color w:val="222222"/>
          <w:sz w:val="20"/>
        </w:rPr>
        <w:t>Incluimos el detalle nominal por solicitud expresa de la Coordinación, para efectos de liquidación. Los cuatro asesores con cero gestiones en agosto registran pagos atribuibles porque la gestión que los originó ocurrió en un mes anterior.</w:t>
      </w:r>
    </w:p>
    <w:tbl>
      <w:tblPr>
        <w:tblStyle w:val="TableGrid"/>
        <w:tblW w:type="auto" w:w="0"/>
        <w:jc w:val="center"/>
        <w:tblLook w:firstColumn="1" w:firstRow="1" w:lastColumn="0" w:lastRow="0" w:noHBand="0" w:noVBand="1" w:val="04A0"/>
      </w:tblPr>
      <w:tblGrid>
        <w:gridCol w:w="1643"/>
        <w:gridCol w:w="1643"/>
        <w:gridCol w:w="1643"/>
        <w:gridCol w:w="1643"/>
        <w:gridCol w:w="1643"/>
        <w:gridCol w:w="1643"/>
      </w:tblGrid>
      <w:tr>
        <w:tc>
          <w:tcPr>
            <w:tcW w:type="dxa" w:w="3515"/>
            <w:shd w:val="clear" w:fill="0C2340"/>
          </w:tcPr>
          <w:p>
            <w:pPr>
              <w:spacing w:after="20" w:before="20"/>
            </w:pPr>
            <w:r/>
            <w:r>
              <w:rPr>
                <w:rFonts w:ascii="Montserrat" w:hAnsi="Montserrat" w:eastAsia="Montserrat"/>
                <w:b/>
                <w:i w:val="0"/>
                <w:color w:val="FFFFFF"/>
                <w:sz w:val="17"/>
              </w:rPr>
              <w:t>Asesor</w:t>
            </w:r>
          </w:p>
        </w:tc>
        <w:tc>
          <w:tcPr>
            <w:tcW w:type="dxa" w:w="1247"/>
            <w:shd w:val="clear" w:fill="0C2340"/>
          </w:tcPr>
          <w:p>
            <w:pPr>
              <w:spacing w:after="20" w:before="20"/>
              <w:jc w:val="right"/>
            </w:pPr>
            <w:r/>
            <w:r>
              <w:rPr>
                <w:rFonts w:ascii="Montserrat" w:hAnsi="Montserrat" w:eastAsia="Montserrat"/>
                <w:b/>
                <w:i w:val="0"/>
                <w:color w:val="FFFFFF"/>
                <w:sz w:val="17"/>
              </w:rPr>
              <w:t>Gestiones</w:t>
            </w:r>
          </w:p>
        </w:tc>
        <w:tc>
          <w:tcPr>
            <w:tcW w:type="dxa" w:w="1134"/>
            <w:shd w:val="clear" w:fill="0C2340"/>
          </w:tcPr>
          <w:p>
            <w:pPr>
              <w:spacing w:after="20" w:before="20"/>
              <w:jc w:val="right"/>
            </w:pPr>
            <w:r/>
            <w:r>
              <w:rPr>
                <w:rFonts w:ascii="Montserrat" w:hAnsi="Montserrat" w:eastAsia="Montserrat"/>
                <w:b/>
                <w:i w:val="0"/>
                <w:color w:val="FFFFFF"/>
                <w:sz w:val="17"/>
              </w:rPr>
              <w:t>Personas</w:t>
            </w:r>
          </w:p>
        </w:tc>
        <w:tc>
          <w:tcPr>
            <w:tcW w:type="dxa" w:w="1077"/>
            <w:shd w:val="clear" w:fill="0C2340"/>
          </w:tcPr>
          <w:p>
            <w:pPr>
              <w:spacing w:after="20" w:before="20"/>
              <w:jc w:val="right"/>
            </w:pPr>
            <w:r/>
            <w:r>
              <w:rPr>
                <w:rFonts w:ascii="Montserrat" w:hAnsi="Montserrat" w:eastAsia="Montserrat"/>
                <w:b/>
                <w:i w:val="0"/>
                <w:color w:val="FFFFFF"/>
                <w:sz w:val="17"/>
              </w:rPr>
              <w:t>Pagos</w:t>
            </w:r>
          </w:p>
        </w:tc>
        <w:tc>
          <w:tcPr>
            <w:tcW w:type="dxa" w:w="1191"/>
            <w:shd w:val="clear" w:fill="0C2340"/>
          </w:tcPr>
          <w:p>
            <w:pPr>
              <w:spacing w:after="20" w:before="20"/>
              <w:jc w:val="right"/>
            </w:pPr>
            <w:r/>
            <w:r>
              <w:rPr>
                <w:rFonts w:ascii="Montserrat" w:hAnsi="Montserrat" w:eastAsia="Montserrat"/>
                <w:b/>
                <w:i w:val="0"/>
                <w:color w:val="FFFFFF"/>
                <w:sz w:val="17"/>
              </w:rPr>
              <w:t>$ MM</w:t>
            </w:r>
          </w:p>
        </w:tc>
        <w:tc>
          <w:tcPr>
            <w:tcW w:type="dxa" w:w="1134"/>
            <w:shd w:val="clear" w:fill="0C2340"/>
          </w:tcPr>
          <w:p>
            <w:pPr>
              <w:spacing w:after="20" w:before="20"/>
              <w:jc w:val="right"/>
            </w:pPr>
            <w:r/>
            <w:r>
              <w:rPr>
                <w:rFonts w:ascii="Montserrat" w:hAnsi="Montserrat" w:eastAsia="Montserrat"/>
                <w:b/>
                <w:i w:val="0"/>
                <w:color w:val="FFFFFF"/>
                <w:sz w:val="17"/>
              </w:rPr>
              <w:t>Efect.</w:t>
            </w:r>
          </w:p>
        </w:tc>
      </w:tr>
      <w:tr>
        <w:tc>
          <w:tcPr>
            <w:tcW w:type="dxa" w:w="3515"/>
          </w:tcPr>
          <w:p>
            <w:pPr>
              <w:spacing w:after="20" w:before="20"/>
            </w:pPr>
            <w:r/>
            <w:r>
              <w:rPr>
                <w:rFonts w:ascii="Open Sans" w:hAnsi="Open Sans" w:eastAsia="Open Sans"/>
                <w:b w:val="0"/>
                <w:i w:val="0"/>
                <w:color w:val="222222"/>
                <w:sz w:val="17"/>
              </w:rPr>
              <w:t>Angie Estefanía Ortiz Ocampo</w:t>
            </w:r>
          </w:p>
        </w:tc>
        <w:tc>
          <w:tcPr>
            <w:tcW w:type="dxa" w:w="1247"/>
          </w:tcPr>
          <w:p>
            <w:pPr>
              <w:spacing w:after="20" w:before="20"/>
              <w:jc w:val="right"/>
            </w:pPr>
            <w:r/>
            <w:r>
              <w:rPr>
                <w:rFonts w:ascii="Open Sans" w:hAnsi="Open Sans" w:eastAsia="Open Sans"/>
                <w:b w:val="0"/>
                <w:i w:val="0"/>
                <w:color w:val="222222"/>
                <w:sz w:val="17"/>
              </w:rPr>
              <w:t>3.388</w:t>
            </w:r>
          </w:p>
        </w:tc>
        <w:tc>
          <w:tcPr>
            <w:tcW w:type="dxa" w:w="1134"/>
          </w:tcPr>
          <w:p>
            <w:pPr>
              <w:spacing w:after="20" w:before="20"/>
              <w:jc w:val="right"/>
            </w:pPr>
            <w:r/>
            <w:r>
              <w:rPr>
                <w:rFonts w:ascii="Open Sans" w:hAnsi="Open Sans" w:eastAsia="Open Sans"/>
                <w:b w:val="0"/>
                <w:i w:val="0"/>
                <w:color w:val="222222"/>
                <w:sz w:val="17"/>
              </w:rPr>
              <w:t>3.040</w:t>
            </w:r>
          </w:p>
        </w:tc>
        <w:tc>
          <w:tcPr>
            <w:tcW w:type="dxa" w:w="1077"/>
          </w:tcPr>
          <w:p>
            <w:pPr>
              <w:spacing w:after="20" w:before="20"/>
              <w:jc w:val="right"/>
            </w:pPr>
            <w:r/>
            <w:r>
              <w:rPr>
                <w:rFonts w:ascii="Open Sans" w:hAnsi="Open Sans" w:eastAsia="Open Sans"/>
                <w:b w:val="0"/>
                <w:i w:val="0"/>
                <w:color w:val="222222"/>
                <w:sz w:val="17"/>
              </w:rPr>
              <w:t>1.006</w:t>
            </w:r>
          </w:p>
        </w:tc>
        <w:tc>
          <w:tcPr>
            <w:tcW w:type="dxa" w:w="1191"/>
          </w:tcPr>
          <w:p>
            <w:pPr>
              <w:spacing w:after="20" w:before="20"/>
              <w:jc w:val="right"/>
            </w:pPr>
            <w:r/>
            <w:r>
              <w:rPr>
                <w:rFonts w:ascii="Open Sans" w:hAnsi="Open Sans" w:eastAsia="Open Sans"/>
                <w:b w:val="0"/>
                <w:i w:val="0"/>
                <w:color w:val="222222"/>
                <w:sz w:val="17"/>
              </w:rPr>
              <w:t>265,3</w:t>
            </w:r>
          </w:p>
        </w:tc>
        <w:tc>
          <w:tcPr>
            <w:tcW w:type="dxa" w:w="1134"/>
          </w:tcPr>
          <w:p>
            <w:pPr>
              <w:spacing w:after="20" w:before="20"/>
              <w:jc w:val="right"/>
            </w:pPr>
            <w:r/>
            <w:r>
              <w:rPr>
                <w:rFonts w:ascii="Open Sans" w:hAnsi="Open Sans" w:eastAsia="Open Sans"/>
                <w:b w:val="0"/>
                <w:i w:val="0"/>
                <w:color w:val="222222"/>
                <w:sz w:val="17"/>
              </w:rPr>
              <w:t>21,9%</w:t>
            </w:r>
          </w:p>
        </w:tc>
      </w:tr>
      <w:tr>
        <w:tc>
          <w:tcPr>
            <w:tcW w:type="dxa" w:w="3515"/>
            <w:shd w:val="clear" w:fill="F8F9FA"/>
          </w:tcPr>
          <w:p>
            <w:pPr>
              <w:spacing w:after="20" w:before="20"/>
            </w:pPr>
            <w:r/>
            <w:r>
              <w:rPr>
                <w:rFonts w:ascii="Open Sans" w:hAnsi="Open Sans" w:eastAsia="Open Sans"/>
                <w:b w:val="0"/>
                <w:i w:val="0"/>
                <w:color w:val="222222"/>
                <w:sz w:val="17"/>
              </w:rPr>
              <w:t>Evelyn Julieth Ruiz Mondragón</w:t>
            </w:r>
          </w:p>
        </w:tc>
        <w:tc>
          <w:tcPr>
            <w:tcW w:type="dxa" w:w="1247"/>
            <w:shd w:val="clear" w:fill="F8F9FA"/>
          </w:tcPr>
          <w:p>
            <w:pPr>
              <w:spacing w:after="20" w:before="20"/>
              <w:jc w:val="right"/>
            </w:pPr>
            <w:r/>
            <w:r>
              <w:rPr>
                <w:rFonts w:ascii="Open Sans" w:hAnsi="Open Sans" w:eastAsia="Open Sans"/>
                <w:b w:val="0"/>
                <w:i w:val="0"/>
                <w:color w:val="222222"/>
                <w:sz w:val="17"/>
              </w:rPr>
              <w:t>1.711</w:t>
            </w:r>
          </w:p>
        </w:tc>
        <w:tc>
          <w:tcPr>
            <w:tcW w:type="dxa" w:w="1134"/>
            <w:shd w:val="clear" w:fill="F8F9FA"/>
          </w:tcPr>
          <w:p>
            <w:pPr>
              <w:spacing w:after="20" w:before="20"/>
              <w:jc w:val="right"/>
            </w:pPr>
            <w:r/>
            <w:r>
              <w:rPr>
                <w:rFonts w:ascii="Open Sans" w:hAnsi="Open Sans" w:eastAsia="Open Sans"/>
                <w:b w:val="0"/>
                <w:i w:val="0"/>
                <w:color w:val="222222"/>
                <w:sz w:val="17"/>
              </w:rPr>
              <w:t>1.464</w:t>
            </w:r>
          </w:p>
        </w:tc>
        <w:tc>
          <w:tcPr>
            <w:tcW w:type="dxa" w:w="1077"/>
            <w:shd w:val="clear" w:fill="F8F9FA"/>
          </w:tcPr>
          <w:p>
            <w:pPr>
              <w:spacing w:after="20" w:before="20"/>
              <w:jc w:val="right"/>
            </w:pPr>
            <w:r/>
            <w:r>
              <w:rPr>
                <w:rFonts w:ascii="Open Sans" w:hAnsi="Open Sans" w:eastAsia="Open Sans"/>
                <w:b w:val="0"/>
                <w:i w:val="0"/>
                <w:color w:val="222222"/>
                <w:sz w:val="17"/>
              </w:rPr>
              <w:t>936</w:t>
            </w:r>
          </w:p>
        </w:tc>
        <w:tc>
          <w:tcPr>
            <w:tcW w:type="dxa" w:w="1191"/>
            <w:shd w:val="clear" w:fill="F8F9FA"/>
          </w:tcPr>
          <w:p>
            <w:pPr>
              <w:spacing w:after="20" w:before="20"/>
              <w:jc w:val="right"/>
            </w:pPr>
            <w:r/>
            <w:r>
              <w:rPr>
                <w:rFonts w:ascii="Open Sans" w:hAnsi="Open Sans" w:eastAsia="Open Sans"/>
                <w:b w:val="0"/>
                <w:i w:val="0"/>
                <w:color w:val="222222"/>
                <w:sz w:val="17"/>
              </w:rPr>
              <w:t>224,7</w:t>
            </w:r>
          </w:p>
        </w:tc>
        <w:tc>
          <w:tcPr>
            <w:tcW w:type="dxa" w:w="1134"/>
            <w:shd w:val="clear" w:fill="F8F9FA"/>
          </w:tcPr>
          <w:p>
            <w:pPr>
              <w:spacing w:after="20" w:before="20"/>
              <w:jc w:val="right"/>
            </w:pPr>
            <w:r/>
            <w:r>
              <w:rPr>
                <w:rFonts w:ascii="Open Sans" w:hAnsi="Open Sans" w:eastAsia="Open Sans"/>
                <w:b w:val="0"/>
                <w:i w:val="0"/>
                <w:color w:val="222222"/>
                <w:sz w:val="17"/>
              </w:rPr>
              <w:t>39,1%</w:t>
            </w:r>
          </w:p>
        </w:tc>
      </w:tr>
      <w:tr>
        <w:tc>
          <w:tcPr>
            <w:tcW w:type="dxa" w:w="3515"/>
          </w:tcPr>
          <w:p>
            <w:pPr>
              <w:spacing w:after="20" w:before="20"/>
            </w:pPr>
            <w:r/>
            <w:r>
              <w:rPr>
                <w:rFonts w:ascii="Open Sans" w:hAnsi="Open Sans" w:eastAsia="Open Sans"/>
                <w:b w:val="0"/>
                <w:i w:val="0"/>
                <w:color w:val="222222"/>
                <w:sz w:val="17"/>
              </w:rPr>
              <w:t>Daniel Steven Cifuentes Mahecha</w:t>
            </w:r>
          </w:p>
        </w:tc>
        <w:tc>
          <w:tcPr>
            <w:tcW w:type="dxa" w:w="1247"/>
          </w:tcPr>
          <w:p>
            <w:pPr>
              <w:spacing w:after="20" w:before="20"/>
              <w:jc w:val="right"/>
            </w:pPr>
            <w:r/>
            <w:r>
              <w:rPr>
                <w:rFonts w:ascii="Open Sans" w:hAnsi="Open Sans" w:eastAsia="Open Sans"/>
                <w:b w:val="0"/>
                <w:i w:val="0"/>
                <w:color w:val="222222"/>
                <w:sz w:val="17"/>
              </w:rPr>
              <w:t>2.139</w:t>
            </w:r>
          </w:p>
        </w:tc>
        <w:tc>
          <w:tcPr>
            <w:tcW w:type="dxa" w:w="1134"/>
          </w:tcPr>
          <w:p>
            <w:pPr>
              <w:spacing w:after="20" w:before="20"/>
              <w:jc w:val="right"/>
            </w:pPr>
            <w:r/>
            <w:r>
              <w:rPr>
                <w:rFonts w:ascii="Open Sans" w:hAnsi="Open Sans" w:eastAsia="Open Sans"/>
                <w:b w:val="0"/>
                <w:i w:val="0"/>
                <w:color w:val="222222"/>
                <w:sz w:val="17"/>
              </w:rPr>
              <w:t>1.616</w:t>
            </w:r>
          </w:p>
        </w:tc>
        <w:tc>
          <w:tcPr>
            <w:tcW w:type="dxa" w:w="1077"/>
          </w:tcPr>
          <w:p>
            <w:pPr>
              <w:spacing w:after="20" w:before="20"/>
              <w:jc w:val="right"/>
            </w:pPr>
            <w:r/>
            <w:r>
              <w:rPr>
                <w:rFonts w:ascii="Open Sans" w:hAnsi="Open Sans" w:eastAsia="Open Sans"/>
                <w:b w:val="0"/>
                <w:i w:val="0"/>
                <w:color w:val="222222"/>
                <w:sz w:val="17"/>
              </w:rPr>
              <w:t>732</w:t>
            </w:r>
          </w:p>
        </w:tc>
        <w:tc>
          <w:tcPr>
            <w:tcW w:type="dxa" w:w="1191"/>
          </w:tcPr>
          <w:p>
            <w:pPr>
              <w:spacing w:after="20" w:before="20"/>
              <w:jc w:val="right"/>
            </w:pPr>
            <w:r/>
            <w:r>
              <w:rPr>
                <w:rFonts w:ascii="Open Sans" w:hAnsi="Open Sans" w:eastAsia="Open Sans"/>
                <w:b w:val="0"/>
                <w:i w:val="0"/>
                <w:color w:val="222222"/>
                <w:sz w:val="17"/>
              </w:rPr>
              <w:t>183,3</w:t>
            </w:r>
          </w:p>
        </w:tc>
        <w:tc>
          <w:tcPr>
            <w:tcW w:type="dxa" w:w="1134"/>
          </w:tcPr>
          <w:p>
            <w:pPr>
              <w:spacing w:after="20" w:before="20"/>
              <w:jc w:val="right"/>
            </w:pPr>
            <w:r/>
            <w:r>
              <w:rPr>
                <w:rFonts w:ascii="Open Sans" w:hAnsi="Open Sans" w:eastAsia="Open Sans"/>
                <w:b w:val="0"/>
                <w:i w:val="0"/>
                <w:color w:val="222222"/>
                <w:sz w:val="17"/>
              </w:rPr>
              <w:t>27,0%</w:t>
            </w:r>
          </w:p>
        </w:tc>
      </w:tr>
      <w:tr>
        <w:tc>
          <w:tcPr>
            <w:tcW w:type="dxa" w:w="3515"/>
            <w:shd w:val="clear" w:fill="F8F9FA"/>
          </w:tcPr>
          <w:p>
            <w:pPr>
              <w:spacing w:after="20" w:before="20"/>
            </w:pPr>
            <w:r/>
            <w:r>
              <w:rPr>
                <w:rFonts w:ascii="Open Sans" w:hAnsi="Open Sans" w:eastAsia="Open Sans"/>
                <w:b w:val="0"/>
                <w:i w:val="0"/>
                <w:color w:val="222222"/>
                <w:sz w:val="17"/>
              </w:rPr>
              <w:t>Gizzel Tatiana Rincón Rodríguez</w:t>
            </w:r>
          </w:p>
        </w:tc>
        <w:tc>
          <w:tcPr>
            <w:tcW w:type="dxa" w:w="1247"/>
            <w:shd w:val="clear" w:fill="F8F9FA"/>
          </w:tcPr>
          <w:p>
            <w:pPr>
              <w:spacing w:after="20" w:before="20"/>
              <w:jc w:val="right"/>
            </w:pPr>
            <w:r/>
            <w:r>
              <w:rPr>
                <w:rFonts w:ascii="Open Sans" w:hAnsi="Open Sans" w:eastAsia="Open Sans"/>
                <w:b w:val="0"/>
                <w:i w:val="0"/>
                <w:color w:val="222222"/>
                <w:sz w:val="17"/>
              </w:rPr>
              <w:t>1.562</w:t>
            </w:r>
          </w:p>
        </w:tc>
        <w:tc>
          <w:tcPr>
            <w:tcW w:type="dxa" w:w="1134"/>
            <w:shd w:val="clear" w:fill="F8F9FA"/>
          </w:tcPr>
          <w:p>
            <w:pPr>
              <w:spacing w:after="20" w:before="20"/>
              <w:jc w:val="right"/>
            </w:pPr>
            <w:r/>
            <w:r>
              <w:rPr>
                <w:rFonts w:ascii="Open Sans" w:hAnsi="Open Sans" w:eastAsia="Open Sans"/>
                <w:b w:val="0"/>
                <w:i w:val="0"/>
                <w:color w:val="222222"/>
                <w:sz w:val="17"/>
              </w:rPr>
              <w:t>1.350</w:t>
            </w:r>
          </w:p>
        </w:tc>
        <w:tc>
          <w:tcPr>
            <w:tcW w:type="dxa" w:w="1077"/>
            <w:shd w:val="clear" w:fill="F8F9FA"/>
          </w:tcPr>
          <w:p>
            <w:pPr>
              <w:spacing w:after="20" w:before="20"/>
              <w:jc w:val="right"/>
            </w:pPr>
            <w:r/>
            <w:r>
              <w:rPr>
                <w:rFonts w:ascii="Open Sans" w:hAnsi="Open Sans" w:eastAsia="Open Sans"/>
                <w:b w:val="0"/>
                <w:i w:val="0"/>
                <w:color w:val="222222"/>
                <w:sz w:val="17"/>
              </w:rPr>
              <w:t>700</w:t>
            </w:r>
          </w:p>
        </w:tc>
        <w:tc>
          <w:tcPr>
            <w:tcW w:type="dxa" w:w="1191"/>
            <w:shd w:val="clear" w:fill="F8F9FA"/>
          </w:tcPr>
          <w:p>
            <w:pPr>
              <w:spacing w:after="20" w:before="20"/>
              <w:jc w:val="right"/>
            </w:pPr>
            <w:r/>
            <w:r>
              <w:rPr>
                <w:rFonts w:ascii="Open Sans" w:hAnsi="Open Sans" w:eastAsia="Open Sans"/>
                <w:b w:val="0"/>
                <w:i w:val="0"/>
                <w:color w:val="222222"/>
                <w:sz w:val="17"/>
              </w:rPr>
              <w:t>177,9</w:t>
            </w:r>
          </w:p>
        </w:tc>
        <w:tc>
          <w:tcPr>
            <w:tcW w:type="dxa" w:w="1134"/>
            <w:shd w:val="clear" w:fill="F8F9FA"/>
          </w:tcPr>
          <w:p>
            <w:pPr>
              <w:spacing w:after="20" w:before="20"/>
              <w:jc w:val="right"/>
            </w:pPr>
            <w:r/>
            <w:r>
              <w:rPr>
                <w:rFonts w:ascii="Open Sans" w:hAnsi="Open Sans" w:eastAsia="Open Sans"/>
                <w:b w:val="0"/>
                <w:i w:val="0"/>
                <w:color w:val="222222"/>
                <w:sz w:val="17"/>
              </w:rPr>
              <w:t>32,4%</w:t>
            </w:r>
          </w:p>
        </w:tc>
      </w:tr>
      <w:tr>
        <w:tc>
          <w:tcPr>
            <w:tcW w:type="dxa" w:w="3515"/>
          </w:tcPr>
          <w:p>
            <w:pPr>
              <w:spacing w:after="20" w:before="20"/>
            </w:pPr>
            <w:r/>
            <w:r>
              <w:rPr>
                <w:rFonts w:ascii="Open Sans" w:hAnsi="Open Sans" w:eastAsia="Open Sans"/>
                <w:b w:val="0"/>
                <w:i w:val="0"/>
                <w:color w:val="222222"/>
                <w:sz w:val="17"/>
              </w:rPr>
              <w:t>Danna Lorena Macías Lozano</w:t>
            </w:r>
          </w:p>
        </w:tc>
        <w:tc>
          <w:tcPr>
            <w:tcW w:type="dxa" w:w="1247"/>
          </w:tcPr>
          <w:p>
            <w:pPr>
              <w:spacing w:after="20" w:before="20"/>
              <w:jc w:val="right"/>
            </w:pPr>
            <w:r/>
            <w:r>
              <w:rPr>
                <w:rFonts w:ascii="Open Sans" w:hAnsi="Open Sans" w:eastAsia="Open Sans"/>
                <w:b w:val="0"/>
                <w:i w:val="0"/>
                <w:color w:val="222222"/>
                <w:sz w:val="17"/>
              </w:rPr>
              <w:t>1.618</w:t>
            </w:r>
          </w:p>
        </w:tc>
        <w:tc>
          <w:tcPr>
            <w:tcW w:type="dxa" w:w="1134"/>
          </w:tcPr>
          <w:p>
            <w:pPr>
              <w:spacing w:after="20" w:before="20"/>
              <w:jc w:val="right"/>
            </w:pPr>
            <w:r/>
            <w:r>
              <w:rPr>
                <w:rFonts w:ascii="Open Sans" w:hAnsi="Open Sans" w:eastAsia="Open Sans"/>
                <w:b w:val="0"/>
                <w:i w:val="0"/>
                <w:color w:val="222222"/>
                <w:sz w:val="17"/>
              </w:rPr>
              <w:t>1.401</w:t>
            </w:r>
          </w:p>
        </w:tc>
        <w:tc>
          <w:tcPr>
            <w:tcW w:type="dxa" w:w="1077"/>
          </w:tcPr>
          <w:p>
            <w:pPr>
              <w:spacing w:after="20" w:before="20"/>
              <w:jc w:val="right"/>
            </w:pPr>
            <w:r/>
            <w:r>
              <w:rPr>
                <w:rFonts w:ascii="Open Sans" w:hAnsi="Open Sans" w:eastAsia="Open Sans"/>
                <w:b w:val="0"/>
                <w:i w:val="0"/>
                <w:color w:val="222222"/>
                <w:sz w:val="17"/>
              </w:rPr>
              <w:t>648</w:t>
            </w:r>
          </w:p>
        </w:tc>
        <w:tc>
          <w:tcPr>
            <w:tcW w:type="dxa" w:w="1191"/>
          </w:tcPr>
          <w:p>
            <w:pPr>
              <w:spacing w:after="20" w:before="20"/>
              <w:jc w:val="right"/>
            </w:pPr>
            <w:r/>
            <w:r>
              <w:rPr>
                <w:rFonts w:ascii="Open Sans" w:hAnsi="Open Sans" w:eastAsia="Open Sans"/>
                <w:b w:val="0"/>
                <w:i w:val="0"/>
                <w:color w:val="222222"/>
                <w:sz w:val="17"/>
              </w:rPr>
              <w:t>177,7</w:t>
            </w:r>
          </w:p>
        </w:tc>
        <w:tc>
          <w:tcPr>
            <w:tcW w:type="dxa" w:w="1134"/>
          </w:tcPr>
          <w:p>
            <w:pPr>
              <w:spacing w:after="20" w:before="20"/>
              <w:jc w:val="right"/>
            </w:pPr>
            <w:r/>
            <w:r>
              <w:rPr>
                <w:rFonts w:ascii="Open Sans" w:hAnsi="Open Sans" w:eastAsia="Open Sans"/>
                <w:b w:val="0"/>
                <w:i w:val="0"/>
                <w:color w:val="222222"/>
                <w:sz w:val="17"/>
              </w:rPr>
              <w:t>30,6%</w:t>
            </w:r>
          </w:p>
        </w:tc>
      </w:tr>
      <w:tr>
        <w:tc>
          <w:tcPr>
            <w:tcW w:type="dxa" w:w="3515"/>
            <w:shd w:val="clear" w:fill="F8F9FA"/>
          </w:tcPr>
          <w:p>
            <w:pPr>
              <w:spacing w:after="20" w:before="20"/>
            </w:pPr>
            <w:r/>
            <w:r>
              <w:rPr>
                <w:rFonts w:ascii="Open Sans" w:hAnsi="Open Sans" w:eastAsia="Open Sans"/>
                <w:b w:val="0"/>
                <w:i w:val="0"/>
                <w:color w:val="222222"/>
                <w:sz w:val="17"/>
              </w:rPr>
              <w:t>Yenifer Andrea Salazar Aguirre</w:t>
            </w:r>
          </w:p>
        </w:tc>
        <w:tc>
          <w:tcPr>
            <w:tcW w:type="dxa" w:w="1247"/>
            <w:shd w:val="clear" w:fill="F8F9FA"/>
          </w:tcPr>
          <w:p>
            <w:pPr>
              <w:spacing w:after="20" w:before="20"/>
              <w:jc w:val="right"/>
            </w:pPr>
            <w:r/>
            <w:r>
              <w:rPr>
                <w:rFonts w:ascii="Open Sans" w:hAnsi="Open Sans" w:eastAsia="Open Sans"/>
                <w:b w:val="0"/>
                <w:i w:val="0"/>
                <w:color w:val="222222"/>
                <w:sz w:val="17"/>
              </w:rPr>
              <w:t>1.229</w:t>
            </w:r>
          </w:p>
        </w:tc>
        <w:tc>
          <w:tcPr>
            <w:tcW w:type="dxa" w:w="1134"/>
            <w:shd w:val="clear" w:fill="F8F9FA"/>
          </w:tcPr>
          <w:p>
            <w:pPr>
              <w:spacing w:after="20" w:before="20"/>
              <w:jc w:val="right"/>
            </w:pPr>
            <w:r/>
            <w:r>
              <w:rPr>
                <w:rFonts w:ascii="Open Sans" w:hAnsi="Open Sans" w:eastAsia="Open Sans"/>
                <w:b w:val="0"/>
                <w:i w:val="0"/>
                <w:color w:val="222222"/>
                <w:sz w:val="17"/>
              </w:rPr>
              <w:t>841</w:t>
            </w:r>
          </w:p>
        </w:tc>
        <w:tc>
          <w:tcPr>
            <w:tcW w:type="dxa" w:w="1077"/>
            <w:shd w:val="clear" w:fill="F8F9FA"/>
          </w:tcPr>
          <w:p>
            <w:pPr>
              <w:spacing w:after="20" w:before="20"/>
              <w:jc w:val="right"/>
            </w:pPr>
            <w:r/>
            <w:r>
              <w:rPr>
                <w:rFonts w:ascii="Open Sans" w:hAnsi="Open Sans" w:eastAsia="Open Sans"/>
                <w:b w:val="0"/>
                <w:i w:val="0"/>
                <w:color w:val="222222"/>
                <w:sz w:val="17"/>
              </w:rPr>
              <w:t>595</w:t>
            </w:r>
          </w:p>
        </w:tc>
        <w:tc>
          <w:tcPr>
            <w:tcW w:type="dxa" w:w="1191"/>
            <w:shd w:val="clear" w:fill="F8F9FA"/>
          </w:tcPr>
          <w:p>
            <w:pPr>
              <w:spacing w:after="20" w:before="20"/>
              <w:jc w:val="right"/>
            </w:pPr>
            <w:r/>
            <w:r>
              <w:rPr>
                <w:rFonts w:ascii="Open Sans" w:hAnsi="Open Sans" w:eastAsia="Open Sans"/>
                <w:b w:val="0"/>
                <w:i w:val="0"/>
                <w:color w:val="222222"/>
                <w:sz w:val="17"/>
              </w:rPr>
              <w:t>171,9</w:t>
            </w:r>
          </w:p>
        </w:tc>
        <w:tc>
          <w:tcPr>
            <w:tcW w:type="dxa" w:w="1134"/>
            <w:shd w:val="clear" w:fill="F8F9FA"/>
          </w:tcPr>
          <w:p>
            <w:pPr>
              <w:spacing w:after="20" w:before="20"/>
              <w:jc w:val="right"/>
            </w:pPr>
            <w:r/>
            <w:r>
              <w:rPr>
                <w:rFonts w:ascii="Open Sans" w:hAnsi="Open Sans" w:eastAsia="Open Sans"/>
                <w:b w:val="0"/>
                <w:i w:val="0"/>
                <w:color w:val="222222"/>
                <w:sz w:val="17"/>
              </w:rPr>
              <w:t>45,0%</w:t>
            </w:r>
          </w:p>
        </w:tc>
      </w:tr>
      <w:tr>
        <w:tc>
          <w:tcPr>
            <w:tcW w:type="dxa" w:w="3515"/>
          </w:tcPr>
          <w:p>
            <w:pPr>
              <w:spacing w:after="20" w:before="20"/>
            </w:pPr>
            <w:r/>
            <w:r>
              <w:rPr>
                <w:rFonts w:ascii="Open Sans" w:hAnsi="Open Sans" w:eastAsia="Open Sans"/>
                <w:b w:val="0"/>
                <w:i w:val="0"/>
                <w:color w:val="222222"/>
                <w:sz w:val="17"/>
              </w:rPr>
              <w:t>Nicolás Pérez Manzanares</w:t>
            </w:r>
          </w:p>
        </w:tc>
        <w:tc>
          <w:tcPr>
            <w:tcW w:type="dxa" w:w="1247"/>
          </w:tcPr>
          <w:p>
            <w:pPr>
              <w:spacing w:after="20" w:before="20"/>
              <w:jc w:val="right"/>
            </w:pPr>
            <w:r/>
            <w:r>
              <w:rPr>
                <w:rFonts w:ascii="Open Sans" w:hAnsi="Open Sans" w:eastAsia="Open Sans"/>
                <w:b w:val="0"/>
                <w:i w:val="0"/>
                <w:color w:val="222222"/>
                <w:sz w:val="17"/>
              </w:rPr>
              <w:t>1.510</w:t>
            </w:r>
          </w:p>
        </w:tc>
        <w:tc>
          <w:tcPr>
            <w:tcW w:type="dxa" w:w="1134"/>
          </w:tcPr>
          <w:p>
            <w:pPr>
              <w:spacing w:after="20" w:before="20"/>
              <w:jc w:val="right"/>
            </w:pPr>
            <w:r/>
            <w:r>
              <w:rPr>
                <w:rFonts w:ascii="Open Sans" w:hAnsi="Open Sans" w:eastAsia="Open Sans"/>
                <w:b w:val="0"/>
                <w:i w:val="0"/>
                <w:color w:val="222222"/>
                <w:sz w:val="17"/>
              </w:rPr>
              <w:t>1.378</w:t>
            </w:r>
          </w:p>
        </w:tc>
        <w:tc>
          <w:tcPr>
            <w:tcW w:type="dxa" w:w="1077"/>
          </w:tcPr>
          <w:p>
            <w:pPr>
              <w:spacing w:after="20" w:before="20"/>
              <w:jc w:val="right"/>
            </w:pPr>
            <w:r/>
            <w:r>
              <w:rPr>
                <w:rFonts w:ascii="Open Sans" w:hAnsi="Open Sans" w:eastAsia="Open Sans"/>
                <w:b w:val="0"/>
                <w:i w:val="0"/>
                <w:color w:val="222222"/>
                <w:sz w:val="17"/>
              </w:rPr>
              <w:t>638</w:t>
            </w:r>
          </w:p>
        </w:tc>
        <w:tc>
          <w:tcPr>
            <w:tcW w:type="dxa" w:w="1191"/>
          </w:tcPr>
          <w:p>
            <w:pPr>
              <w:spacing w:after="20" w:before="20"/>
              <w:jc w:val="right"/>
            </w:pPr>
            <w:r/>
            <w:r>
              <w:rPr>
                <w:rFonts w:ascii="Open Sans" w:hAnsi="Open Sans" w:eastAsia="Open Sans"/>
                <w:b w:val="0"/>
                <w:i w:val="0"/>
                <w:color w:val="222222"/>
                <w:sz w:val="17"/>
              </w:rPr>
              <w:t>161,4</w:t>
            </w:r>
          </w:p>
        </w:tc>
        <w:tc>
          <w:tcPr>
            <w:tcW w:type="dxa" w:w="1134"/>
          </w:tcPr>
          <w:p>
            <w:pPr>
              <w:spacing w:after="20" w:before="20"/>
              <w:jc w:val="right"/>
            </w:pPr>
            <w:r/>
            <w:r>
              <w:rPr>
                <w:rFonts w:ascii="Open Sans" w:hAnsi="Open Sans" w:eastAsia="Open Sans"/>
                <w:b w:val="0"/>
                <w:i w:val="0"/>
                <w:color w:val="222222"/>
                <w:sz w:val="17"/>
              </w:rPr>
              <w:t>32,2%</w:t>
            </w:r>
          </w:p>
        </w:tc>
      </w:tr>
      <w:tr>
        <w:tc>
          <w:tcPr>
            <w:tcW w:type="dxa" w:w="3515"/>
            <w:shd w:val="clear" w:fill="F8F9FA"/>
          </w:tcPr>
          <w:p>
            <w:pPr>
              <w:spacing w:after="20" w:before="20"/>
            </w:pPr>
            <w:r/>
            <w:r>
              <w:rPr>
                <w:rFonts w:ascii="Open Sans" w:hAnsi="Open Sans" w:eastAsia="Open Sans"/>
                <w:b w:val="0"/>
                <w:i w:val="0"/>
                <w:color w:val="222222"/>
                <w:sz w:val="17"/>
              </w:rPr>
              <w:t>Carol Alexandra Nieto Bello</w:t>
            </w:r>
          </w:p>
        </w:tc>
        <w:tc>
          <w:tcPr>
            <w:tcW w:type="dxa" w:w="1247"/>
            <w:shd w:val="clear" w:fill="F8F9FA"/>
          </w:tcPr>
          <w:p>
            <w:pPr>
              <w:spacing w:after="20" w:before="20"/>
              <w:jc w:val="right"/>
            </w:pPr>
            <w:r/>
            <w:r>
              <w:rPr>
                <w:rFonts w:ascii="Open Sans" w:hAnsi="Open Sans" w:eastAsia="Open Sans"/>
                <w:b w:val="0"/>
                <w:i w:val="0"/>
                <w:color w:val="222222"/>
                <w:sz w:val="17"/>
              </w:rPr>
              <w:t>2.120</w:t>
            </w:r>
          </w:p>
        </w:tc>
        <w:tc>
          <w:tcPr>
            <w:tcW w:type="dxa" w:w="1134"/>
            <w:shd w:val="clear" w:fill="F8F9FA"/>
          </w:tcPr>
          <w:p>
            <w:pPr>
              <w:spacing w:after="20" w:before="20"/>
              <w:jc w:val="right"/>
            </w:pPr>
            <w:r/>
            <w:r>
              <w:rPr>
                <w:rFonts w:ascii="Open Sans" w:hAnsi="Open Sans" w:eastAsia="Open Sans"/>
                <w:b w:val="0"/>
                <w:i w:val="0"/>
                <w:color w:val="222222"/>
                <w:sz w:val="17"/>
              </w:rPr>
              <w:t>1.668</w:t>
            </w:r>
          </w:p>
        </w:tc>
        <w:tc>
          <w:tcPr>
            <w:tcW w:type="dxa" w:w="1077"/>
            <w:shd w:val="clear" w:fill="F8F9FA"/>
          </w:tcPr>
          <w:p>
            <w:pPr>
              <w:spacing w:after="20" w:before="20"/>
              <w:jc w:val="right"/>
            </w:pPr>
            <w:r/>
            <w:r>
              <w:rPr>
                <w:rFonts w:ascii="Open Sans" w:hAnsi="Open Sans" w:eastAsia="Open Sans"/>
                <w:b w:val="0"/>
                <w:i w:val="0"/>
                <w:color w:val="222222"/>
                <w:sz w:val="17"/>
              </w:rPr>
              <w:t>674</w:t>
            </w:r>
          </w:p>
        </w:tc>
        <w:tc>
          <w:tcPr>
            <w:tcW w:type="dxa" w:w="1191"/>
            <w:shd w:val="clear" w:fill="F8F9FA"/>
          </w:tcPr>
          <w:p>
            <w:pPr>
              <w:spacing w:after="20" w:before="20"/>
              <w:jc w:val="right"/>
            </w:pPr>
            <w:r/>
            <w:r>
              <w:rPr>
                <w:rFonts w:ascii="Open Sans" w:hAnsi="Open Sans" w:eastAsia="Open Sans"/>
                <w:b w:val="0"/>
                <w:i w:val="0"/>
                <w:color w:val="222222"/>
                <w:sz w:val="17"/>
              </w:rPr>
              <w:t>161,3</w:t>
            </w:r>
          </w:p>
        </w:tc>
        <w:tc>
          <w:tcPr>
            <w:tcW w:type="dxa" w:w="1134"/>
            <w:shd w:val="clear" w:fill="F8F9FA"/>
          </w:tcPr>
          <w:p>
            <w:pPr>
              <w:spacing w:after="20" w:before="20"/>
              <w:jc w:val="right"/>
            </w:pPr>
            <w:r/>
            <w:r>
              <w:rPr>
                <w:rFonts w:ascii="Open Sans" w:hAnsi="Open Sans" w:eastAsia="Open Sans"/>
                <w:b w:val="0"/>
                <w:i w:val="0"/>
                <w:color w:val="222222"/>
                <w:sz w:val="17"/>
              </w:rPr>
              <w:t>23,9%</w:t>
            </w:r>
          </w:p>
        </w:tc>
      </w:tr>
      <w:tr>
        <w:tc>
          <w:tcPr>
            <w:tcW w:type="dxa" w:w="3515"/>
          </w:tcPr>
          <w:p>
            <w:pPr>
              <w:spacing w:after="20" w:before="20"/>
            </w:pPr>
            <w:r/>
            <w:r>
              <w:rPr>
                <w:rFonts w:ascii="Open Sans" w:hAnsi="Open Sans" w:eastAsia="Open Sans"/>
                <w:b w:val="0"/>
                <w:i w:val="0"/>
                <w:color w:val="222222"/>
                <w:sz w:val="17"/>
              </w:rPr>
              <w:t>Ana del Pilar Ávila Murillo</w:t>
            </w:r>
          </w:p>
        </w:tc>
        <w:tc>
          <w:tcPr>
            <w:tcW w:type="dxa" w:w="1247"/>
          </w:tcPr>
          <w:p>
            <w:pPr>
              <w:spacing w:after="20" w:before="20"/>
              <w:jc w:val="right"/>
            </w:pPr>
            <w:r/>
            <w:r>
              <w:rPr>
                <w:rFonts w:ascii="Open Sans" w:hAnsi="Open Sans" w:eastAsia="Open Sans"/>
                <w:b w:val="0"/>
                <w:i w:val="0"/>
                <w:color w:val="222222"/>
                <w:sz w:val="17"/>
              </w:rPr>
              <w:t>1.561</w:t>
            </w:r>
          </w:p>
        </w:tc>
        <w:tc>
          <w:tcPr>
            <w:tcW w:type="dxa" w:w="1134"/>
          </w:tcPr>
          <w:p>
            <w:pPr>
              <w:spacing w:after="20" w:before="20"/>
              <w:jc w:val="right"/>
            </w:pPr>
            <w:r/>
            <w:r>
              <w:rPr>
                <w:rFonts w:ascii="Open Sans" w:hAnsi="Open Sans" w:eastAsia="Open Sans"/>
                <w:b w:val="0"/>
                <w:i w:val="0"/>
                <w:color w:val="222222"/>
                <w:sz w:val="17"/>
              </w:rPr>
              <w:t>1.254</w:t>
            </w:r>
          </w:p>
        </w:tc>
        <w:tc>
          <w:tcPr>
            <w:tcW w:type="dxa" w:w="1077"/>
          </w:tcPr>
          <w:p>
            <w:pPr>
              <w:spacing w:after="20" w:before="20"/>
              <w:jc w:val="right"/>
            </w:pPr>
            <w:r/>
            <w:r>
              <w:rPr>
                <w:rFonts w:ascii="Open Sans" w:hAnsi="Open Sans" w:eastAsia="Open Sans"/>
                <w:b w:val="0"/>
                <w:i w:val="0"/>
                <w:color w:val="222222"/>
                <w:sz w:val="17"/>
              </w:rPr>
              <w:t>594</w:t>
            </w:r>
          </w:p>
        </w:tc>
        <w:tc>
          <w:tcPr>
            <w:tcW w:type="dxa" w:w="1191"/>
          </w:tcPr>
          <w:p>
            <w:pPr>
              <w:spacing w:after="20" w:before="20"/>
              <w:jc w:val="right"/>
            </w:pPr>
            <w:r/>
            <w:r>
              <w:rPr>
                <w:rFonts w:ascii="Open Sans" w:hAnsi="Open Sans" w:eastAsia="Open Sans"/>
                <w:b w:val="0"/>
                <w:i w:val="0"/>
                <w:color w:val="222222"/>
                <w:sz w:val="17"/>
              </w:rPr>
              <w:t>149,8</w:t>
            </w:r>
          </w:p>
        </w:tc>
        <w:tc>
          <w:tcPr>
            <w:tcW w:type="dxa" w:w="1134"/>
          </w:tcPr>
          <w:p>
            <w:pPr>
              <w:spacing w:after="20" w:before="20"/>
              <w:jc w:val="right"/>
            </w:pPr>
            <w:r/>
            <w:r>
              <w:rPr>
                <w:rFonts w:ascii="Open Sans" w:hAnsi="Open Sans" w:eastAsia="Open Sans"/>
                <w:b w:val="0"/>
                <w:i w:val="0"/>
                <w:color w:val="222222"/>
                <w:sz w:val="17"/>
              </w:rPr>
              <w:t>27,2%</w:t>
            </w:r>
          </w:p>
        </w:tc>
      </w:tr>
      <w:tr>
        <w:tc>
          <w:tcPr>
            <w:tcW w:type="dxa" w:w="3515"/>
            <w:shd w:val="clear" w:fill="F8F9FA"/>
          </w:tcPr>
          <w:p>
            <w:pPr>
              <w:spacing w:after="20" w:before="20"/>
            </w:pPr>
            <w:r/>
            <w:r>
              <w:rPr>
                <w:rFonts w:ascii="Open Sans" w:hAnsi="Open Sans" w:eastAsia="Open Sans"/>
                <w:b w:val="0"/>
                <w:i w:val="0"/>
                <w:color w:val="222222"/>
                <w:sz w:val="17"/>
              </w:rPr>
              <w:t>Laura Eliana Rivera Díaz</w:t>
            </w:r>
          </w:p>
        </w:tc>
        <w:tc>
          <w:tcPr>
            <w:tcW w:type="dxa" w:w="1247"/>
            <w:shd w:val="clear" w:fill="F8F9FA"/>
          </w:tcPr>
          <w:p>
            <w:pPr>
              <w:spacing w:after="20" w:before="20"/>
              <w:jc w:val="right"/>
            </w:pPr>
            <w:r/>
            <w:r>
              <w:rPr>
                <w:rFonts w:ascii="Open Sans" w:hAnsi="Open Sans" w:eastAsia="Open Sans"/>
                <w:b w:val="0"/>
                <w:i w:val="0"/>
                <w:color w:val="222222"/>
                <w:sz w:val="17"/>
              </w:rPr>
              <w:t>1.410</w:t>
            </w:r>
          </w:p>
        </w:tc>
        <w:tc>
          <w:tcPr>
            <w:tcW w:type="dxa" w:w="1134"/>
            <w:shd w:val="clear" w:fill="F8F9FA"/>
          </w:tcPr>
          <w:p>
            <w:pPr>
              <w:spacing w:after="20" w:before="20"/>
              <w:jc w:val="right"/>
            </w:pPr>
            <w:r/>
            <w:r>
              <w:rPr>
                <w:rFonts w:ascii="Open Sans" w:hAnsi="Open Sans" w:eastAsia="Open Sans"/>
                <w:b w:val="0"/>
                <w:i w:val="0"/>
                <w:color w:val="222222"/>
                <w:sz w:val="17"/>
              </w:rPr>
              <w:t>1.164</w:t>
            </w:r>
          </w:p>
        </w:tc>
        <w:tc>
          <w:tcPr>
            <w:tcW w:type="dxa" w:w="1077"/>
            <w:shd w:val="clear" w:fill="F8F9FA"/>
          </w:tcPr>
          <w:p>
            <w:pPr>
              <w:spacing w:after="20" w:before="20"/>
              <w:jc w:val="right"/>
            </w:pPr>
            <w:r/>
            <w:r>
              <w:rPr>
                <w:rFonts w:ascii="Open Sans" w:hAnsi="Open Sans" w:eastAsia="Open Sans"/>
                <w:b w:val="0"/>
                <w:i w:val="0"/>
                <w:color w:val="222222"/>
                <w:sz w:val="17"/>
              </w:rPr>
              <w:t>620</w:t>
            </w:r>
          </w:p>
        </w:tc>
        <w:tc>
          <w:tcPr>
            <w:tcW w:type="dxa" w:w="1191"/>
            <w:shd w:val="clear" w:fill="F8F9FA"/>
          </w:tcPr>
          <w:p>
            <w:pPr>
              <w:spacing w:after="20" w:before="20"/>
              <w:jc w:val="right"/>
            </w:pPr>
            <w:r/>
            <w:r>
              <w:rPr>
                <w:rFonts w:ascii="Open Sans" w:hAnsi="Open Sans" w:eastAsia="Open Sans"/>
                <w:b w:val="0"/>
                <w:i w:val="0"/>
                <w:color w:val="222222"/>
                <w:sz w:val="17"/>
              </w:rPr>
              <w:t>147,4</w:t>
            </w:r>
          </w:p>
        </w:tc>
        <w:tc>
          <w:tcPr>
            <w:tcW w:type="dxa" w:w="1134"/>
            <w:shd w:val="clear" w:fill="F8F9FA"/>
          </w:tcPr>
          <w:p>
            <w:pPr>
              <w:spacing w:after="20" w:before="20"/>
              <w:jc w:val="right"/>
            </w:pPr>
            <w:r/>
            <w:r>
              <w:rPr>
                <w:rFonts w:ascii="Open Sans" w:hAnsi="Open Sans" w:eastAsia="Open Sans"/>
                <w:b w:val="0"/>
                <w:i w:val="0"/>
                <w:color w:val="222222"/>
                <w:sz w:val="17"/>
              </w:rPr>
              <w:t>28,0%</w:t>
            </w:r>
          </w:p>
        </w:tc>
      </w:tr>
      <w:tr>
        <w:tc>
          <w:tcPr>
            <w:tcW w:type="dxa" w:w="3515"/>
          </w:tcPr>
          <w:p>
            <w:pPr>
              <w:spacing w:after="20" w:before="20"/>
            </w:pPr>
            <w:r/>
            <w:r>
              <w:rPr>
                <w:rFonts w:ascii="Open Sans" w:hAnsi="Open Sans" w:eastAsia="Open Sans"/>
                <w:b w:val="0"/>
                <w:i w:val="0"/>
                <w:color w:val="222222"/>
                <w:sz w:val="17"/>
              </w:rPr>
              <w:t>María Fernanda Nieto Jiménez</w:t>
            </w:r>
          </w:p>
        </w:tc>
        <w:tc>
          <w:tcPr>
            <w:tcW w:type="dxa" w:w="1247"/>
          </w:tcPr>
          <w:p>
            <w:pPr>
              <w:spacing w:after="20" w:before="20"/>
              <w:jc w:val="right"/>
            </w:pPr>
            <w:r/>
            <w:r>
              <w:rPr>
                <w:rFonts w:ascii="Open Sans" w:hAnsi="Open Sans" w:eastAsia="Open Sans"/>
                <w:b w:val="0"/>
                <w:i w:val="0"/>
                <w:color w:val="222222"/>
                <w:sz w:val="17"/>
              </w:rPr>
              <w:t>1.130</w:t>
            </w:r>
          </w:p>
        </w:tc>
        <w:tc>
          <w:tcPr>
            <w:tcW w:type="dxa" w:w="1134"/>
          </w:tcPr>
          <w:p>
            <w:pPr>
              <w:spacing w:after="20" w:before="20"/>
              <w:jc w:val="right"/>
            </w:pPr>
            <w:r/>
            <w:r>
              <w:rPr>
                <w:rFonts w:ascii="Open Sans" w:hAnsi="Open Sans" w:eastAsia="Open Sans"/>
                <w:b w:val="0"/>
                <w:i w:val="0"/>
                <w:color w:val="222222"/>
                <w:sz w:val="17"/>
              </w:rPr>
              <w:t>986</w:t>
            </w:r>
          </w:p>
        </w:tc>
        <w:tc>
          <w:tcPr>
            <w:tcW w:type="dxa" w:w="1077"/>
          </w:tcPr>
          <w:p>
            <w:pPr>
              <w:spacing w:after="20" w:before="20"/>
              <w:jc w:val="right"/>
            </w:pPr>
            <w:r/>
            <w:r>
              <w:rPr>
                <w:rFonts w:ascii="Open Sans" w:hAnsi="Open Sans" w:eastAsia="Open Sans"/>
                <w:b w:val="0"/>
                <w:i w:val="0"/>
                <w:color w:val="222222"/>
                <w:sz w:val="17"/>
              </w:rPr>
              <w:t>564</w:t>
            </w:r>
          </w:p>
        </w:tc>
        <w:tc>
          <w:tcPr>
            <w:tcW w:type="dxa" w:w="1191"/>
          </w:tcPr>
          <w:p>
            <w:pPr>
              <w:spacing w:after="20" w:before="20"/>
              <w:jc w:val="right"/>
            </w:pPr>
            <w:r/>
            <w:r>
              <w:rPr>
                <w:rFonts w:ascii="Open Sans" w:hAnsi="Open Sans" w:eastAsia="Open Sans"/>
                <w:b w:val="0"/>
                <w:i w:val="0"/>
                <w:color w:val="222222"/>
                <w:sz w:val="17"/>
              </w:rPr>
              <w:t>143,7</w:t>
            </w:r>
          </w:p>
        </w:tc>
        <w:tc>
          <w:tcPr>
            <w:tcW w:type="dxa" w:w="1134"/>
          </w:tcPr>
          <w:p>
            <w:pPr>
              <w:spacing w:after="20" w:before="20"/>
              <w:jc w:val="right"/>
            </w:pPr>
            <w:r/>
            <w:r>
              <w:rPr>
                <w:rFonts w:ascii="Open Sans" w:hAnsi="Open Sans" w:eastAsia="Open Sans"/>
                <w:b w:val="0"/>
                <w:i w:val="0"/>
                <w:color w:val="222222"/>
                <w:sz w:val="17"/>
              </w:rPr>
              <w:t>39,7%</w:t>
            </w:r>
          </w:p>
        </w:tc>
      </w:tr>
      <w:tr>
        <w:tc>
          <w:tcPr>
            <w:tcW w:type="dxa" w:w="3515"/>
            <w:shd w:val="clear" w:fill="F8F9FA"/>
          </w:tcPr>
          <w:p>
            <w:pPr>
              <w:spacing w:after="20" w:before="20"/>
            </w:pPr>
            <w:r/>
            <w:r>
              <w:rPr>
                <w:rFonts w:ascii="Open Sans" w:hAnsi="Open Sans" w:eastAsia="Open Sans"/>
                <w:b w:val="0"/>
                <w:i w:val="0"/>
                <w:color w:val="222222"/>
                <w:sz w:val="17"/>
              </w:rPr>
              <w:t>Ginna Magaly Herrera Varela</w:t>
            </w:r>
          </w:p>
        </w:tc>
        <w:tc>
          <w:tcPr>
            <w:tcW w:type="dxa" w:w="1247"/>
            <w:shd w:val="clear" w:fill="F8F9FA"/>
          </w:tcPr>
          <w:p>
            <w:pPr>
              <w:spacing w:after="20" w:before="20"/>
              <w:jc w:val="right"/>
            </w:pPr>
            <w:r/>
            <w:r>
              <w:rPr>
                <w:rFonts w:ascii="Open Sans" w:hAnsi="Open Sans" w:eastAsia="Open Sans"/>
                <w:b w:val="0"/>
                <w:i w:val="0"/>
                <w:color w:val="222222"/>
                <w:sz w:val="17"/>
              </w:rPr>
              <w:t>1.503</w:t>
            </w:r>
          </w:p>
        </w:tc>
        <w:tc>
          <w:tcPr>
            <w:tcW w:type="dxa" w:w="1134"/>
            <w:shd w:val="clear" w:fill="F8F9FA"/>
          </w:tcPr>
          <w:p>
            <w:pPr>
              <w:spacing w:after="20" w:before="20"/>
              <w:jc w:val="right"/>
            </w:pPr>
            <w:r/>
            <w:r>
              <w:rPr>
                <w:rFonts w:ascii="Open Sans" w:hAnsi="Open Sans" w:eastAsia="Open Sans"/>
                <w:b w:val="0"/>
                <w:i w:val="0"/>
                <w:color w:val="222222"/>
                <w:sz w:val="17"/>
              </w:rPr>
              <w:t>1.393</w:t>
            </w:r>
          </w:p>
        </w:tc>
        <w:tc>
          <w:tcPr>
            <w:tcW w:type="dxa" w:w="1077"/>
            <w:shd w:val="clear" w:fill="F8F9FA"/>
          </w:tcPr>
          <w:p>
            <w:pPr>
              <w:spacing w:after="20" w:before="20"/>
              <w:jc w:val="right"/>
            </w:pPr>
            <w:r/>
            <w:r>
              <w:rPr>
                <w:rFonts w:ascii="Open Sans" w:hAnsi="Open Sans" w:eastAsia="Open Sans"/>
                <w:b w:val="0"/>
                <w:i w:val="0"/>
                <w:color w:val="222222"/>
                <w:sz w:val="17"/>
              </w:rPr>
              <w:t>525</w:t>
            </w:r>
          </w:p>
        </w:tc>
        <w:tc>
          <w:tcPr>
            <w:tcW w:type="dxa" w:w="1191"/>
            <w:shd w:val="clear" w:fill="F8F9FA"/>
          </w:tcPr>
          <w:p>
            <w:pPr>
              <w:spacing w:after="20" w:before="20"/>
              <w:jc w:val="right"/>
            </w:pPr>
            <w:r/>
            <w:r>
              <w:rPr>
                <w:rFonts w:ascii="Open Sans" w:hAnsi="Open Sans" w:eastAsia="Open Sans"/>
                <w:b w:val="0"/>
                <w:i w:val="0"/>
                <w:color w:val="222222"/>
                <w:sz w:val="17"/>
              </w:rPr>
              <w:t>139,8</w:t>
            </w:r>
          </w:p>
        </w:tc>
        <w:tc>
          <w:tcPr>
            <w:tcW w:type="dxa" w:w="1134"/>
            <w:shd w:val="clear" w:fill="F8F9FA"/>
          </w:tcPr>
          <w:p>
            <w:pPr>
              <w:spacing w:after="20" w:before="20"/>
              <w:jc w:val="right"/>
            </w:pPr>
            <w:r/>
            <w:r>
              <w:rPr>
                <w:rFonts w:ascii="Open Sans" w:hAnsi="Open Sans" w:eastAsia="Open Sans"/>
                <w:b w:val="0"/>
                <w:i w:val="0"/>
                <w:color w:val="222222"/>
                <w:sz w:val="17"/>
              </w:rPr>
              <w:t>23,7%</w:t>
            </w:r>
          </w:p>
        </w:tc>
      </w:tr>
      <w:tr>
        <w:tc>
          <w:tcPr>
            <w:tcW w:type="dxa" w:w="3515"/>
          </w:tcPr>
          <w:p>
            <w:pPr>
              <w:spacing w:after="20" w:before="20"/>
            </w:pPr>
            <w:r/>
            <w:r>
              <w:rPr>
                <w:rFonts w:ascii="Open Sans" w:hAnsi="Open Sans" w:eastAsia="Open Sans"/>
                <w:b w:val="0"/>
                <w:i w:val="0"/>
                <w:color w:val="222222"/>
                <w:sz w:val="17"/>
              </w:rPr>
              <w:t>Yaqueline López Casas</w:t>
            </w:r>
          </w:p>
        </w:tc>
        <w:tc>
          <w:tcPr>
            <w:tcW w:type="dxa" w:w="1247"/>
          </w:tcPr>
          <w:p>
            <w:pPr>
              <w:spacing w:after="20" w:before="20"/>
              <w:jc w:val="right"/>
            </w:pPr>
            <w:r/>
            <w:r>
              <w:rPr>
                <w:rFonts w:ascii="Open Sans" w:hAnsi="Open Sans" w:eastAsia="Open Sans"/>
                <w:b w:val="0"/>
                <w:i w:val="0"/>
                <w:color w:val="222222"/>
                <w:sz w:val="17"/>
              </w:rPr>
              <w:t>1.074</w:t>
            </w:r>
          </w:p>
        </w:tc>
        <w:tc>
          <w:tcPr>
            <w:tcW w:type="dxa" w:w="1134"/>
          </w:tcPr>
          <w:p>
            <w:pPr>
              <w:spacing w:after="20" w:before="20"/>
              <w:jc w:val="right"/>
            </w:pPr>
            <w:r/>
            <w:r>
              <w:rPr>
                <w:rFonts w:ascii="Open Sans" w:hAnsi="Open Sans" w:eastAsia="Open Sans"/>
                <w:b w:val="0"/>
                <w:i w:val="0"/>
                <w:color w:val="222222"/>
                <w:sz w:val="17"/>
              </w:rPr>
              <w:t>962</w:t>
            </w:r>
          </w:p>
        </w:tc>
        <w:tc>
          <w:tcPr>
            <w:tcW w:type="dxa" w:w="1077"/>
          </w:tcPr>
          <w:p>
            <w:pPr>
              <w:spacing w:after="20" w:before="20"/>
              <w:jc w:val="right"/>
            </w:pPr>
            <w:r/>
            <w:r>
              <w:rPr>
                <w:rFonts w:ascii="Open Sans" w:hAnsi="Open Sans" w:eastAsia="Open Sans"/>
                <w:b w:val="0"/>
                <w:i w:val="0"/>
                <w:color w:val="222222"/>
                <w:sz w:val="17"/>
              </w:rPr>
              <w:t>465</w:t>
            </w:r>
          </w:p>
        </w:tc>
        <w:tc>
          <w:tcPr>
            <w:tcW w:type="dxa" w:w="1191"/>
          </w:tcPr>
          <w:p>
            <w:pPr>
              <w:spacing w:after="20" w:before="20"/>
              <w:jc w:val="right"/>
            </w:pPr>
            <w:r/>
            <w:r>
              <w:rPr>
                <w:rFonts w:ascii="Open Sans" w:hAnsi="Open Sans" w:eastAsia="Open Sans"/>
                <w:b w:val="0"/>
                <w:i w:val="0"/>
                <w:color w:val="222222"/>
                <w:sz w:val="17"/>
              </w:rPr>
              <w:t>124,9</w:t>
            </w:r>
          </w:p>
        </w:tc>
        <w:tc>
          <w:tcPr>
            <w:tcW w:type="dxa" w:w="1134"/>
          </w:tcPr>
          <w:p>
            <w:pPr>
              <w:spacing w:after="20" w:before="20"/>
              <w:jc w:val="right"/>
            </w:pPr>
            <w:r/>
            <w:r>
              <w:rPr>
                <w:rFonts w:ascii="Open Sans" w:hAnsi="Open Sans" w:eastAsia="Open Sans"/>
                <w:b w:val="0"/>
                <w:i w:val="0"/>
                <w:color w:val="222222"/>
                <w:sz w:val="17"/>
              </w:rPr>
              <w:t>25,0%</w:t>
            </w:r>
          </w:p>
        </w:tc>
      </w:tr>
      <w:tr>
        <w:tc>
          <w:tcPr>
            <w:tcW w:type="dxa" w:w="3515"/>
            <w:shd w:val="clear" w:fill="F8F9FA"/>
          </w:tcPr>
          <w:p>
            <w:pPr>
              <w:spacing w:after="20" w:before="20"/>
            </w:pPr>
            <w:r/>
            <w:r>
              <w:rPr>
                <w:rFonts w:ascii="Open Sans" w:hAnsi="Open Sans" w:eastAsia="Open Sans"/>
                <w:b w:val="0"/>
                <w:i w:val="0"/>
                <w:color w:val="222222"/>
                <w:sz w:val="17"/>
              </w:rPr>
              <w:t>Laidy Alejandra Romero Estupiñán</w:t>
            </w:r>
          </w:p>
        </w:tc>
        <w:tc>
          <w:tcPr>
            <w:tcW w:type="dxa" w:w="1247"/>
            <w:shd w:val="clear" w:fill="F8F9FA"/>
          </w:tcPr>
          <w:p>
            <w:pPr>
              <w:spacing w:after="20" w:before="20"/>
              <w:jc w:val="right"/>
            </w:pPr>
            <w:r/>
            <w:r>
              <w:rPr>
                <w:rFonts w:ascii="Open Sans" w:hAnsi="Open Sans" w:eastAsia="Open Sans"/>
                <w:b w:val="0"/>
                <w:i w:val="0"/>
                <w:color w:val="222222"/>
                <w:sz w:val="17"/>
              </w:rPr>
              <w:t>986</w:t>
            </w:r>
          </w:p>
        </w:tc>
        <w:tc>
          <w:tcPr>
            <w:tcW w:type="dxa" w:w="1134"/>
            <w:shd w:val="clear" w:fill="F8F9FA"/>
          </w:tcPr>
          <w:p>
            <w:pPr>
              <w:spacing w:after="20" w:before="20"/>
              <w:jc w:val="right"/>
            </w:pPr>
            <w:r/>
            <w:r>
              <w:rPr>
                <w:rFonts w:ascii="Open Sans" w:hAnsi="Open Sans" w:eastAsia="Open Sans"/>
                <w:b w:val="0"/>
                <w:i w:val="0"/>
                <w:color w:val="222222"/>
                <w:sz w:val="17"/>
              </w:rPr>
              <w:t>790</w:t>
            </w:r>
          </w:p>
        </w:tc>
        <w:tc>
          <w:tcPr>
            <w:tcW w:type="dxa" w:w="1077"/>
            <w:shd w:val="clear" w:fill="F8F9FA"/>
          </w:tcPr>
          <w:p>
            <w:pPr>
              <w:spacing w:after="20" w:before="20"/>
              <w:jc w:val="right"/>
            </w:pPr>
            <w:r/>
            <w:r>
              <w:rPr>
                <w:rFonts w:ascii="Open Sans" w:hAnsi="Open Sans" w:eastAsia="Open Sans"/>
                <w:b w:val="0"/>
                <w:i w:val="0"/>
                <w:color w:val="222222"/>
                <w:sz w:val="17"/>
              </w:rPr>
              <w:t>333</w:t>
            </w:r>
          </w:p>
        </w:tc>
        <w:tc>
          <w:tcPr>
            <w:tcW w:type="dxa" w:w="1191"/>
            <w:shd w:val="clear" w:fill="F8F9FA"/>
          </w:tcPr>
          <w:p>
            <w:pPr>
              <w:spacing w:after="20" w:before="20"/>
              <w:jc w:val="right"/>
            </w:pPr>
            <w:r/>
            <w:r>
              <w:rPr>
                <w:rFonts w:ascii="Open Sans" w:hAnsi="Open Sans" w:eastAsia="Open Sans"/>
                <w:b w:val="0"/>
                <w:i w:val="0"/>
                <w:color w:val="222222"/>
                <w:sz w:val="17"/>
              </w:rPr>
              <w:t>120,5</w:t>
            </w:r>
          </w:p>
        </w:tc>
        <w:tc>
          <w:tcPr>
            <w:tcW w:type="dxa" w:w="1134"/>
            <w:shd w:val="clear" w:fill="F8F9FA"/>
          </w:tcPr>
          <w:p>
            <w:pPr>
              <w:spacing w:after="20" w:before="20"/>
              <w:jc w:val="right"/>
            </w:pPr>
            <w:r/>
            <w:r>
              <w:rPr>
                <w:rFonts w:ascii="Open Sans" w:hAnsi="Open Sans" w:eastAsia="Open Sans"/>
                <w:b w:val="0"/>
                <w:i w:val="0"/>
                <w:color w:val="222222"/>
                <w:sz w:val="17"/>
              </w:rPr>
              <w:t>25,1%</w:t>
            </w:r>
          </w:p>
        </w:tc>
      </w:tr>
      <w:tr>
        <w:tc>
          <w:tcPr>
            <w:tcW w:type="dxa" w:w="3515"/>
          </w:tcPr>
          <w:p>
            <w:pPr>
              <w:spacing w:after="20" w:before="20"/>
            </w:pPr>
            <w:r/>
            <w:r>
              <w:rPr>
                <w:rFonts w:ascii="Open Sans" w:hAnsi="Open Sans" w:eastAsia="Open Sans"/>
                <w:b w:val="0"/>
                <w:i w:val="0"/>
                <w:color w:val="222222"/>
                <w:sz w:val="17"/>
              </w:rPr>
              <w:t>Ingrid Viviana Lara Pinzón</w:t>
            </w:r>
          </w:p>
        </w:tc>
        <w:tc>
          <w:tcPr>
            <w:tcW w:type="dxa" w:w="1247"/>
          </w:tcPr>
          <w:p>
            <w:pPr>
              <w:spacing w:after="20" w:before="20"/>
              <w:jc w:val="right"/>
            </w:pPr>
            <w:r/>
            <w:r>
              <w:rPr>
                <w:rFonts w:ascii="Open Sans" w:hAnsi="Open Sans" w:eastAsia="Open Sans"/>
                <w:b w:val="0"/>
                <w:i w:val="0"/>
                <w:color w:val="222222"/>
                <w:sz w:val="17"/>
              </w:rPr>
              <w:t>0</w:t>
            </w:r>
          </w:p>
        </w:tc>
        <w:tc>
          <w:tcPr>
            <w:tcW w:type="dxa" w:w="1134"/>
          </w:tcPr>
          <w:p>
            <w:pPr>
              <w:spacing w:after="20" w:before="20"/>
              <w:jc w:val="right"/>
            </w:pPr>
            <w:r/>
            <w:r>
              <w:rPr>
                <w:rFonts w:ascii="Open Sans" w:hAnsi="Open Sans" w:eastAsia="Open Sans"/>
                <w:b w:val="0"/>
                <w:i w:val="0"/>
                <w:color w:val="222222"/>
                <w:sz w:val="17"/>
              </w:rPr>
              <w:t>0</w:t>
            </w:r>
          </w:p>
        </w:tc>
        <w:tc>
          <w:tcPr>
            <w:tcW w:type="dxa" w:w="1077"/>
          </w:tcPr>
          <w:p>
            <w:pPr>
              <w:spacing w:after="20" w:before="20"/>
              <w:jc w:val="right"/>
            </w:pPr>
            <w:r/>
            <w:r>
              <w:rPr>
                <w:rFonts w:ascii="Open Sans" w:hAnsi="Open Sans" w:eastAsia="Open Sans"/>
                <w:b w:val="0"/>
                <w:i w:val="0"/>
                <w:color w:val="222222"/>
                <w:sz w:val="17"/>
              </w:rPr>
              <w:t>111</w:t>
            </w:r>
          </w:p>
        </w:tc>
        <w:tc>
          <w:tcPr>
            <w:tcW w:type="dxa" w:w="1191"/>
          </w:tcPr>
          <w:p>
            <w:pPr>
              <w:spacing w:after="20" w:before="20"/>
              <w:jc w:val="right"/>
            </w:pPr>
            <w:r/>
            <w:r>
              <w:rPr>
                <w:rFonts w:ascii="Open Sans" w:hAnsi="Open Sans" w:eastAsia="Open Sans"/>
                <w:b w:val="0"/>
                <w:i w:val="0"/>
                <w:color w:val="222222"/>
                <w:sz w:val="17"/>
              </w:rPr>
              <w:t>21,6</w:t>
            </w:r>
          </w:p>
        </w:tc>
        <w:tc>
          <w:tcPr>
            <w:tcW w:type="dxa" w:w="1134"/>
          </w:tcPr>
          <w:p>
            <w:pPr>
              <w:spacing w:after="20" w:before="20"/>
              <w:jc w:val="right"/>
            </w:pPr>
            <w:r/>
            <w:r>
              <w:rPr>
                <w:rFonts w:ascii="Open Sans" w:hAnsi="Open Sans" w:eastAsia="Open Sans"/>
                <w:b w:val="0"/>
                <w:i w:val="0"/>
                <w:color w:val="222222"/>
                <w:sz w:val="17"/>
              </w:rPr>
              <w:t>—</w:t>
            </w:r>
          </w:p>
        </w:tc>
      </w:tr>
      <w:tr>
        <w:tc>
          <w:tcPr>
            <w:tcW w:type="dxa" w:w="3515"/>
            <w:shd w:val="clear" w:fill="F8F9FA"/>
          </w:tcPr>
          <w:p>
            <w:pPr>
              <w:spacing w:after="20" w:before="20"/>
            </w:pPr>
            <w:r/>
            <w:r>
              <w:rPr>
                <w:rFonts w:ascii="Open Sans" w:hAnsi="Open Sans" w:eastAsia="Open Sans"/>
                <w:b w:val="0"/>
                <w:i w:val="0"/>
                <w:color w:val="222222"/>
                <w:sz w:val="17"/>
              </w:rPr>
              <w:t>Cristian Alexander Sanabria M.</w:t>
            </w:r>
          </w:p>
        </w:tc>
        <w:tc>
          <w:tcPr>
            <w:tcW w:type="dxa" w:w="1247"/>
            <w:shd w:val="clear" w:fill="F8F9FA"/>
          </w:tcPr>
          <w:p>
            <w:pPr>
              <w:spacing w:after="20" w:before="20"/>
              <w:jc w:val="right"/>
            </w:pPr>
            <w:r/>
            <w:r>
              <w:rPr>
                <w:rFonts w:ascii="Open Sans" w:hAnsi="Open Sans" w:eastAsia="Open Sans"/>
                <w:b w:val="0"/>
                <w:i w:val="0"/>
                <w:color w:val="222222"/>
                <w:sz w:val="17"/>
              </w:rPr>
              <w:t>0</w:t>
            </w:r>
          </w:p>
        </w:tc>
        <w:tc>
          <w:tcPr>
            <w:tcW w:type="dxa" w:w="1134"/>
            <w:shd w:val="clear" w:fill="F8F9FA"/>
          </w:tcPr>
          <w:p>
            <w:pPr>
              <w:spacing w:after="20" w:before="20"/>
              <w:jc w:val="right"/>
            </w:pPr>
            <w:r/>
            <w:r>
              <w:rPr>
                <w:rFonts w:ascii="Open Sans" w:hAnsi="Open Sans" w:eastAsia="Open Sans"/>
                <w:b w:val="0"/>
                <w:i w:val="0"/>
                <w:color w:val="222222"/>
                <w:sz w:val="17"/>
              </w:rPr>
              <w:t>0</w:t>
            </w:r>
          </w:p>
        </w:tc>
        <w:tc>
          <w:tcPr>
            <w:tcW w:type="dxa" w:w="1077"/>
            <w:shd w:val="clear" w:fill="F8F9FA"/>
          </w:tcPr>
          <w:p>
            <w:pPr>
              <w:spacing w:after="20" w:before="20"/>
              <w:jc w:val="right"/>
            </w:pPr>
            <w:r/>
            <w:r>
              <w:rPr>
                <w:rFonts w:ascii="Open Sans" w:hAnsi="Open Sans" w:eastAsia="Open Sans"/>
                <w:b w:val="0"/>
                <w:i w:val="0"/>
                <w:color w:val="222222"/>
                <w:sz w:val="17"/>
              </w:rPr>
              <w:t>67</w:t>
            </w:r>
          </w:p>
        </w:tc>
        <w:tc>
          <w:tcPr>
            <w:tcW w:type="dxa" w:w="1191"/>
            <w:shd w:val="clear" w:fill="F8F9FA"/>
          </w:tcPr>
          <w:p>
            <w:pPr>
              <w:spacing w:after="20" w:before="20"/>
              <w:jc w:val="right"/>
            </w:pPr>
            <w:r/>
            <w:r>
              <w:rPr>
                <w:rFonts w:ascii="Open Sans" w:hAnsi="Open Sans" w:eastAsia="Open Sans"/>
                <w:b w:val="0"/>
                <w:i w:val="0"/>
                <w:color w:val="222222"/>
                <w:sz w:val="17"/>
              </w:rPr>
              <w:t>19,0</w:t>
            </w:r>
          </w:p>
        </w:tc>
        <w:tc>
          <w:tcPr>
            <w:tcW w:type="dxa" w:w="1134"/>
            <w:shd w:val="clear" w:fill="F8F9FA"/>
          </w:tcPr>
          <w:p>
            <w:pPr>
              <w:spacing w:after="20" w:before="20"/>
              <w:jc w:val="right"/>
            </w:pPr>
            <w:r/>
            <w:r>
              <w:rPr>
                <w:rFonts w:ascii="Open Sans" w:hAnsi="Open Sans" w:eastAsia="Open Sans"/>
                <w:b w:val="0"/>
                <w:i w:val="0"/>
                <w:color w:val="222222"/>
                <w:sz w:val="17"/>
              </w:rPr>
              <w:t>—</w:t>
            </w:r>
          </w:p>
        </w:tc>
      </w:tr>
      <w:tr>
        <w:tc>
          <w:tcPr>
            <w:tcW w:type="dxa" w:w="3515"/>
          </w:tcPr>
          <w:p>
            <w:pPr>
              <w:spacing w:after="20" w:before="20"/>
            </w:pPr>
            <w:r/>
            <w:r>
              <w:rPr>
                <w:rFonts w:ascii="Open Sans" w:hAnsi="Open Sans" w:eastAsia="Open Sans"/>
                <w:b w:val="0"/>
                <w:i w:val="0"/>
                <w:color w:val="222222"/>
                <w:sz w:val="17"/>
              </w:rPr>
              <w:t>Delia Fernanda Muñoz Montoya</w:t>
            </w:r>
          </w:p>
        </w:tc>
        <w:tc>
          <w:tcPr>
            <w:tcW w:type="dxa" w:w="1247"/>
          </w:tcPr>
          <w:p>
            <w:pPr>
              <w:spacing w:after="20" w:before="20"/>
              <w:jc w:val="right"/>
            </w:pPr>
            <w:r/>
            <w:r>
              <w:rPr>
                <w:rFonts w:ascii="Open Sans" w:hAnsi="Open Sans" w:eastAsia="Open Sans"/>
                <w:b w:val="0"/>
                <w:i w:val="0"/>
                <w:color w:val="222222"/>
                <w:sz w:val="17"/>
              </w:rPr>
              <w:t>0</w:t>
            </w:r>
          </w:p>
        </w:tc>
        <w:tc>
          <w:tcPr>
            <w:tcW w:type="dxa" w:w="1134"/>
          </w:tcPr>
          <w:p>
            <w:pPr>
              <w:spacing w:after="20" w:before="20"/>
              <w:jc w:val="right"/>
            </w:pPr>
            <w:r/>
            <w:r>
              <w:rPr>
                <w:rFonts w:ascii="Open Sans" w:hAnsi="Open Sans" w:eastAsia="Open Sans"/>
                <w:b w:val="0"/>
                <w:i w:val="0"/>
                <w:color w:val="222222"/>
                <w:sz w:val="17"/>
              </w:rPr>
              <w:t>0</w:t>
            </w:r>
          </w:p>
        </w:tc>
        <w:tc>
          <w:tcPr>
            <w:tcW w:type="dxa" w:w="1077"/>
          </w:tcPr>
          <w:p>
            <w:pPr>
              <w:spacing w:after="20" w:before="20"/>
              <w:jc w:val="right"/>
            </w:pPr>
            <w:r/>
            <w:r>
              <w:rPr>
                <w:rFonts w:ascii="Open Sans" w:hAnsi="Open Sans" w:eastAsia="Open Sans"/>
                <w:b w:val="0"/>
                <w:i w:val="0"/>
                <w:color w:val="222222"/>
                <w:sz w:val="17"/>
              </w:rPr>
              <w:t>54</w:t>
            </w:r>
          </w:p>
        </w:tc>
        <w:tc>
          <w:tcPr>
            <w:tcW w:type="dxa" w:w="1191"/>
          </w:tcPr>
          <w:p>
            <w:pPr>
              <w:spacing w:after="20" w:before="20"/>
              <w:jc w:val="right"/>
            </w:pPr>
            <w:r/>
            <w:r>
              <w:rPr>
                <w:rFonts w:ascii="Open Sans" w:hAnsi="Open Sans" w:eastAsia="Open Sans"/>
                <w:b w:val="0"/>
                <w:i w:val="0"/>
                <w:color w:val="222222"/>
                <w:sz w:val="17"/>
              </w:rPr>
              <w:t>13,0</w:t>
            </w:r>
          </w:p>
        </w:tc>
        <w:tc>
          <w:tcPr>
            <w:tcW w:type="dxa" w:w="1134"/>
          </w:tcPr>
          <w:p>
            <w:pPr>
              <w:spacing w:after="20" w:before="20"/>
              <w:jc w:val="right"/>
            </w:pPr>
            <w:r/>
            <w:r>
              <w:rPr>
                <w:rFonts w:ascii="Open Sans" w:hAnsi="Open Sans" w:eastAsia="Open Sans"/>
                <w:b w:val="0"/>
                <w:i w:val="0"/>
                <w:color w:val="222222"/>
                <w:sz w:val="17"/>
              </w:rPr>
              <w:t>—</w:t>
            </w:r>
          </w:p>
        </w:tc>
      </w:tr>
      <w:tr>
        <w:tc>
          <w:tcPr>
            <w:tcW w:type="dxa" w:w="3515"/>
            <w:shd w:val="clear" w:fill="F8F9FA"/>
          </w:tcPr>
          <w:p>
            <w:pPr>
              <w:spacing w:after="20" w:before="20"/>
            </w:pPr>
            <w:r/>
            <w:r>
              <w:rPr>
                <w:rFonts w:ascii="Open Sans" w:hAnsi="Open Sans" w:eastAsia="Open Sans"/>
                <w:b w:val="0"/>
                <w:i w:val="0"/>
                <w:color w:val="222222"/>
                <w:sz w:val="17"/>
              </w:rPr>
              <w:t>Daniel Esteban Ascencio Luna</w:t>
            </w:r>
          </w:p>
        </w:tc>
        <w:tc>
          <w:tcPr>
            <w:tcW w:type="dxa" w:w="1247"/>
            <w:shd w:val="clear" w:fill="F8F9FA"/>
          </w:tcPr>
          <w:p>
            <w:pPr>
              <w:spacing w:after="20" w:before="20"/>
              <w:jc w:val="right"/>
            </w:pPr>
            <w:r/>
            <w:r>
              <w:rPr>
                <w:rFonts w:ascii="Open Sans" w:hAnsi="Open Sans" w:eastAsia="Open Sans"/>
                <w:b w:val="0"/>
                <w:i w:val="0"/>
                <w:color w:val="222222"/>
                <w:sz w:val="17"/>
              </w:rPr>
              <w:t>0</w:t>
            </w:r>
          </w:p>
        </w:tc>
        <w:tc>
          <w:tcPr>
            <w:tcW w:type="dxa" w:w="1134"/>
            <w:shd w:val="clear" w:fill="F8F9FA"/>
          </w:tcPr>
          <w:p>
            <w:pPr>
              <w:spacing w:after="20" w:before="20"/>
              <w:jc w:val="right"/>
            </w:pPr>
            <w:r/>
            <w:r>
              <w:rPr>
                <w:rFonts w:ascii="Open Sans" w:hAnsi="Open Sans" w:eastAsia="Open Sans"/>
                <w:b w:val="0"/>
                <w:i w:val="0"/>
                <w:color w:val="222222"/>
                <w:sz w:val="17"/>
              </w:rPr>
              <w:t>0</w:t>
            </w:r>
          </w:p>
        </w:tc>
        <w:tc>
          <w:tcPr>
            <w:tcW w:type="dxa" w:w="1077"/>
            <w:shd w:val="clear" w:fill="F8F9FA"/>
          </w:tcPr>
          <w:p>
            <w:pPr>
              <w:spacing w:after="20" w:before="20"/>
              <w:jc w:val="right"/>
            </w:pPr>
            <w:r/>
            <w:r>
              <w:rPr>
                <w:rFonts w:ascii="Open Sans" w:hAnsi="Open Sans" w:eastAsia="Open Sans"/>
                <w:b w:val="0"/>
                <w:i w:val="0"/>
                <w:color w:val="222222"/>
                <w:sz w:val="17"/>
              </w:rPr>
              <w:t>19</w:t>
            </w:r>
          </w:p>
        </w:tc>
        <w:tc>
          <w:tcPr>
            <w:tcW w:type="dxa" w:w="1191"/>
            <w:shd w:val="clear" w:fill="F8F9FA"/>
          </w:tcPr>
          <w:p>
            <w:pPr>
              <w:spacing w:after="20" w:before="20"/>
              <w:jc w:val="right"/>
            </w:pPr>
            <w:r/>
            <w:r>
              <w:rPr>
                <w:rFonts w:ascii="Open Sans" w:hAnsi="Open Sans" w:eastAsia="Open Sans"/>
                <w:b w:val="0"/>
                <w:i w:val="0"/>
                <w:color w:val="222222"/>
                <w:sz w:val="17"/>
              </w:rPr>
              <w:t>5,3</w:t>
            </w:r>
          </w:p>
        </w:tc>
        <w:tc>
          <w:tcPr>
            <w:tcW w:type="dxa" w:w="1134"/>
            <w:shd w:val="clear" w:fill="F8F9FA"/>
          </w:tcPr>
          <w:p>
            <w:pPr>
              <w:spacing w:after="20" w:before="20"/>
              <w:jc w:val="right"/>
            </w:pPr>
            <w:r/>
            <w:r>
              <w:rPr>
                <w:rFonts w:ascii="Open Sans" w:hAnsi="Open Sans" w:eastAsia="Open Sans"/>
                <w:b w:val="0"/>
                <w:i w:val="0"/>
                <w:color w:val="222222"/>
                <w:sz w:val="17"/>
              </w:rPr>
              <w:t>—</w:t>
            </w:r>
          </w:p>
        </w:tc>
      </w:tr>
      <w:tr>
        <w:tc>
          <w:tcPr>
            <w:tcW w:type="dxa" w:w="3515"/>
          </w:tcPr>
          <w:p>
            <w:pPr>
              <w:spacing w:after="20" w:before="20"/>
            </w:pPr>
            <w:r/>
            <w:r>
              <w:rPr>
                <w:rFonts w:ascii="Open Sans" w:hAnsi="Open Sans" w:eastAsia="Open Sans"/>
                <w:b w:val="0"/>
                <w:i w:val="0"/>
                <w:color w:val="222222"/>
                <w:sz w:val="17"/>
              </w:rPr>
              <w:t>TOTAL EQUIPO</w:t>
            </w:r>
          </w:p>
        </w:tc>
        <w:tc>
          <w:tcPr>
            <w:tcW w:type="dxa" w:w="1247"/>
          </w:tcPr>
          <w:p>
            <w:pPr>
              <w:spacing w:after="20" w:before="20"/>
              <w:jc w:val="right"/>
            </w:pPr>
            <w:r/>
            <w:r>
              <w:rPr>
                <w:rFonts w:ascii="Open Sans" w:hAnsi="Open Sans" w:eastAsia="Open Sans"/>
                <w:b w:val="0"/>
                <w:i w:val="0"/>
                <w:color w:val="222222"/>
                <w:sz w:val="17"/>
              </w:rPr>
              <w:t>22.941</w:t>
            </w:r>
          </w:p>
        </w:tc>
        <w:tc>
          <w:tcPr>
            <w:tcW w:type="dxa" w:w="1134"/>
          </w:tcPr>
          <w:p>
            <w:pPr>
              <w:spacing w:after="20" w:before="20"/>
              <w:jc w:val="right"/>
            </w:pPr>
            <w:r/>
            <w:r>
              <w:rPr>
                <w:rFonts w:ascii="Open Sans" w:hAnsi="Open Sans" w:eastAsia="Open Sans"/>
                <w:b w:val="0"/>
                <w:i w:val="0"/>
                <w:color w:val="222222"/>
                <w:sz w:val="17"/>
              </w:rPr>
              <w:t>18.483</w:t>
            </w:r>
          </w:p>
        </w:tc>
        <w:tc>
          <w:tcPr>
            <w:tcW w:type="dxa" w:w="1077"/>
          </w:tcPr>
          <w:p>
            <w:pPr>
              <w:spacing w:after="20" w:before="20"/>
              <w:jc w:val="right"/>
            </w:pPr>
            <w:r/>
            <w:r>
              <w:rPr>
                <w:rFonts w:ascii="Open Sans" w:hAnsi="Open Sans" w:eastAsia="Open Sans"/>
                <w:b w:val="0"/>
                <w:i w:val="0"/>
                <w:color w:val="222222"/>
                <w:sz w:val="17"/>
              </w:rPr>
              <w:t>9.281</w:t>
            </w:r>
          </w:p>
        </w:tc>
        <w:tc>
          <w:tcPr>
            <w:tcW w:type="dxa" w:w="1191"/>
          </w:tcPr>
          <w:p>
            <w:pPr>
              <w:spacing w:after="20" w:before="20"/>
              <w:jc w:val="right"/>
            </w:pPr>
            <w:r/>
            <w:r>
              <w:rPr>
                <w:rFonts w:ascii="Open Sans" w:hAnsi="Open Sans" w:eastAsia="Open Sans"/>
                <w:b w:val="0"/>
                <w:i w:val="0"/>
                <w:color w:val="222222"/>
                <w:sz w:val="17"/>
              </w:rPr>
              <w:t>2.408,8</w:t>
            </w:r>
          </w:p>
        </w:tc>
        <w:tc>
          <w:tcPr>
            <w:tcW w:type="dxa" w:w="1134"/>
          </w:tcPr>
          <w:p>
            <w:pPr>
              <w:spacing w:after="20" w:before="20"/>
              <w:jc w:val="right"/>
            </w:pPr>
            <w:r/>
            <w:r>
              <w:rPr>
                <w:rFonts w:ascii="Open Sans" w:hAnsi="Open Sans" w:eastAsia="Open Sans"/>
                <w:b w:val="0"/>
                <w:i w:val="0"/>
                <w:color w:val="222222"/>
                <w:sz w:val="17"/>
              </w:rPr>
              <w:t>18,1%</w:t>
            </w:r>
          </w:p>
        </w:tc>
      </w:tr>
    </w:tbl>
    <w:p>
      <w:pPr>
        <w:spacing w:after="60" w:before="0" w:line="264" w:lineRule="auto"/>
      </w:pPr>
    </w:p>
    <w:p>
      <w:pPr>
        <w:spacing w:after="60" w:line="259" w:lineRule="auto"/>
        <w:ind w:left="312"/>
      </w:pPr>
      <w:r>
        <w:rPr>
          <w:rFonts w:ascii="Open Sans" w:hAnsi="Open Sans" w:eastAsia="Open Sans"/>
          <w:b/>
          <w:i w:val="0"/>
          <w:color w:val="007A33"/>
          <w:sz w:val="20"/>
        </w:rPr>
        <w:t xml:space="preserve">▪  </w:t>
      </w:r>
      <w:r>
        <w:rPr>
          <w:rFonts w:ascii="Open Sans" w:hAnsi="Open Sans" w:eastAsia="Open Sans"/>
          <w:b/>
          <w:i w:val="0"/>
          <w:color w:val="1B365D"/>
          <w:sz w:val="19"/>
        </w:rPr>
        <w:t xml:space="preserve">Volumen no es resultado: </w:t>
      </w:r>
      <w:r>
        <w:rPr>
          <w:rFonts w:ascii="Open Sans" w:hAnsi="Open Sans" w:eastAsia="Open Sans"/>
          <w:b w:val="0"/>
          <w:i w:val="0"/>
          <w:color w:val="222222"/>
          <w:sz w:val="19"/>
        </w:rPr>
        <w:t>la efectividad no sigue al volumen. Yenifer Salazar convierte el 45,0% con 1.229 gestiones, mientras que quien más gestiona convierte el 21,9%. Vale la pena revisar qué hace distinto el primer grupo antes de pedir más volumen al segundo.</w:t>
      </w:r>
    </w:p>
    <w:p>
      <w:r>
        <w:br w:type="page"/>
      </w:r>
    </w:p>
    <w:p>
      <w:pPr>
        <w:spacing w:before="140" w:after="60"/>
      </w:pPr>
      <w:r>
        <w:rPr>
          <w:rFonts w:ascii="Montserrat" w:hAnsi="Montserrat" w:eastAsia="Montserrat"/>
          <w:b/>
          <w:i w:val="0"/>
          <w:color w:val="0C2340"/>
          <w:sz w:val="25"/>
        </w:rPr>
        <w:t>7.  Ritmo de la gestión: cuándo se trabaja y cuándo se paga</w:t>
      </w:r>
    </w:p>
    <w:tbl>
      <w:tblPr>
        <w:tblW w:type="auto" w:w="0"/>
        <w:jc w:val="center"/>
        <w:tblLook w:firstColumn="1" w:firstRow="1" w:lastColumn="0" w:lastRow="0" w:noHBand="0" w:noVBand="1" w:val="04A0"/>
      </w:tblPr>
      <w:tblGrid>
        <w:gridCol w:w="2465"/>
        <w:gridCol w:w="2465"/>
        <w:gridCol w:w="2465"/>
        <w:gridCol w:w="2465"/>
      </w:tblGrid>
      <w:tr>
        <w:tc>
          <w:tcPr>
            <w:tcW w:type="dxa" w:w="2465"/>
          </w:tcPr>
          <w:p>
            <w:pPr>
              <w:spacing w:after="20" w:before="20"/>
              <w:jc w:val="center"/>
            </w:pPr>
            <w:r/>
            <w:r>
              <w:rPr>
                <w:rFonts w:ascii="Montserrat" w:hAnsi="Montserrat" w:eastAsia="Montserrat"/>
                <w:b/>
                <w:i w:val="0"/>
                <w:color w:val="00859B"/>
                <w:sz w:val="30"/>
              </w:rPr>
              <w:t>7 días</w:t>
            </w:r>
          </w:p>
        </w:tc>
        <w:tc>
          <w:tcPr>
            <w:tcW w:type="dxa" w:w="2465"/>
          </w:tcPr>
          <w:p>
            <w:pPr>
              <w:spacing w:after="20" w:before="20"/>
              <w:jc w:val="center"/>
            </w:pPr>
            <w:r/>
            <w:r>
              <w:rPr>
                <w:rFonts w:ascii="Montserrat" w:hAnsi="Montserrat" w:eastAsia="Montserrat"/>
                <w:b/>
                <w:i w:val="0"/>
                <w:color w:val="00859B"/>
                <w:sz w:val="30"/>
              </w:rPr>
              <w:t>30,0%</w:t>
            </w:r>
          </w:p>
        </w:tc>
        <w:tc>
          <w:tcPr>
            <w:tcW w:type="dxa" w:w="2465"/>
          </w:tcPr>
          <w:p>
            <w:pPr>
              <w:spacing w:after="20" w:before="20"/>
              <w:jc w:val="center"/>
            </w:pPr>
            <w:r/>
            <w:r>
              <w:rPr>
                <w:rFonts w:ascii="Montserrat" w:hAnsi="Montserrat" w:eastAsia="Montserrat"/>
                <w:b/>
                <w:i w:val="0"/>
                <w:color w:val="00859B"/>
                <w:sz w:val="30"/>
              </w:rPr>
              <w:t>33,5%</w:t>
            </w:r>
          </w:p>
        </w:tc>
        <w:tc>
          <w:tcPr>
            <w:tcW w:type="dxa" w:w="2465"/>
          </w:tcPr>
          <w:p>
            <w:pPr>
              <w:spacing w:after="20" w:before="20"/>
              <w:jc w:val="center"/>
            </w:pPr>
            <w:r/>
            <w:r>
              <w:rPr>
                <w:rFonts w:ascii="Montserrat" w:hAnsi="Montserrat" w:eastAsia="Montserrat"/>
                <w:b/>
                <w:i w:val="0"/>
                <w:color w:val="00859B"/>
                <w:sz w:val="30"/>
              </w:rPr>
              <w:t>19,7%</w:t>
            </w:r>
          </w:p>
        </w:tc>
      </w:tr>
      <w:tr>
        <w:tc>
          <w:tcPr>
            <w:tcW w:type="dxa" w:w="2465"/>
          </w:tcPr>
          <w:p>
            <w:pPr>
              <w:spacing w:after="20" w:before="20"/>
              <w:jc w:val="center"/>
            </w:pPr>
            <w:r/>
            <w:r>
              <w:rPr>
                <w:rFonts w:ascii="Open Sans" w:hAnsi="Open Sans" w:eastAsia="Open Sans"/>
                <w:b w:val="0"/>
                <w:i w:val="0"/>
                <w:color w:val="898D8D"/>
                <w:sz w:val="16"/>
              </w:rPr>
              <w:t>MEDIANA CONTACTO → PAGO</w:t>
            </w:r>
          </w:p>
        </w:tc>
        <w:tc>
          <w:tcPr>
            <w:tcW w:type="dxa" w:w="2465"/>
          </w:tcPr>
          <w:p>
            <w:pPr>
              <w:spacing w:after="20" w:before="20"/>
              <w:jc w:val="center"/>
            </w:pPr>
            <w:r/>
            <w:r>
              <w:rPr>
                <w:rFonts w:ascii="Open Sans" w:hAnsi="Open Sans" w:eastAsia="Open Sans"/>
                <w:b w:val="0"/>
                <w:i w:val="0"/>
                <w:color w:val="898D8D"/>
                <w:sz w:val="16"/>
              </w:rPr>
              <w:t>PAGA EN LOS 3 PRIMEROS DÍAS</w:t>
            </w:r>
          </w:p>
        </w:tc>
        <w:tc>
          <w:tcPr>
            <w:tcW w:type="dxa" w:w="2465"/>
          </w:tcPr>
          <w:p>
            <w:pPr>
              <w:spacing w:after="20" w:before="20"/>
              <w:jc w:val="center"/>
            </w:pPr>
            <w:r/>
            <w:r>
              <w:rPr>
                <w:rFonts w:ascii="Open Sans" w:hAnsi="Open Sans" w:eastAsia="Open Sans"/>
                <w:b w:val="0"/>
                <w:i w:val="0"/>
                <w:color w:val="898D8D"/>
                <w:sz w:val="16"/>
              </w:rPr>
              <w:t>GESTIÓN EN LA ÚLTIMA SEMANA</w:t>
            </w:r>
          </w:p>
        </w:tc>
        <w:tc>
          <w:tcPr>
            <w:tcW w:type="dxa" w:w="2465"/>
          </w:tcPr>
          <w:p>
            <w:pPr>
              <w:spacing w:after="20" w:before="20"/>
              <w:jc w:val="center"/>
            </w:pPr>
            <w:r/>
            <w:r>
              <w:rPr>
                <w:rFonts w:ascii="Open Sans" w:hAnsi="Open Sans" w:eastAsia="Open Sans"/>
                <w:b w:val="0"/>
                <w:i w:val="0"/>
                <w:color w:val="898D8D"/>
                <w:sz w:val="16"/>
              </w:rPr>
              <w:t>CONVERSIÓN DEL ACUERDO VERBAL</w:t>
            </w:r>
          </w:p>
        </w:tc>
      </w:tr>
    </w:tbl>
    <w:p>
      <w:pPr>
        <w:spacing w:after="80" w:before="120" w:line="264" w:lineRule="auto"/>
      </w:pPr>
      <w:r>
        <w:rPr>
          <w:rFonts w:ascii="Open Sans" w:hAnsi="Open Sans" w:eastAsia="Open Sans"/>
          <w:b w:val="0"/>
          <w:i w:val="0"/>
          <w:color w:val="222222"/>
          <w:sz w:val="20"/>
        </w:rPr>
        <w:t>Cruzamos la fecha de cada gestión contra la fecha del pago que la sigue. Es el análisis que faltaba para saber si el esfuerzo está bien colocado en el calendario.</w:t>
      </w:r>
    </w:p>
    <w:tbl>
      <w:tblPr>
        <w:tblStyle w:val="TableGrid"/>
        <w:tblW w:type="auto" w:w="0"/>
        <w:jc w:val="center"/>
        <w:tblLook w:firstColumn="1" w:firstRow="1" w:lastColumn="0" w:lastRow="0" w:noHBand="0" w:noVBand="1" w:val="04A0"/>
      </w:tblPr>
      <w:tblGrid>
        <w:gridCol w:w="2465"/>
        <w:gridCol w:w="2465"/>
        <w:gridCol w:w="2465"/>
        <w:gridCol w:w="2465"/>
      </w:tblGrid>
      <w:tr>
        <w:tc>
          <w:tcPr>
            <w:tcW w:type="dxa" w:w="4195"/>
            <w:shd w:val="clear" w:fill="0C2340"/>
          </w:tcPr>
          <w:p>
            <w:pPr>
              <w:spacing w:after="20" w:before="20"/>
            </w:pPr>
            <w:r/>
            <w:r>
              <w:rPr>
                <w:rFonts w:ascii="Montserrat" w:hAnsi="Montserrat" w:eastAsia="Montserrat"/>
                <w:b/>
                <w:i w:val="0"/>
                <w:color w:val="FFFFFF"/>
                <w:sz w:val="17"/>
              </w:rPr>
              <w:t>Tiempo entre el contacto y el pago</w:t>
            </w:r>
          </w:p>
        </w:tc>
        <w:tc>
          <w:tcPr>
            <w:tcW w:type="dxa" w:w="1474"/>
            <w:shd w:val="clear" w:fill="0C2340"/>
          </w:tcPr>
          <w:p>
            <w:pPr>
              <w:spacing w:after="20" w:before="20"/>
              <w:jc w:val="right"/>
            </w:pPr>
            <w:r/>
            <w:r>
              <w:rPr>
                <w:rFonts w:ascii="Montserrat" w:hAnsi="Montserrat" w:eastAsia="Montserrat"/>
                <w:b/>
                <w:i w:val="0"/>
                <w:color w:val="FFFFFF"/>
                <w:sz w:val="17"/>
              </w:rPr>
              <w:t>Pagos</w:t>
            </w:r>
          </w:p>
        </w:tc>
        <w:tc>
          <w:tcPr>
            <w:tcW w:type="dxa" w:w="1531"/>
            <w:shd w:val="clear" w:fill="0C2340"/>
          </w:tcPr>
          <w:p>
            <w:pPr>
              <w:spacing w:after="20" w:before="20"/>
              <w:jc w:val="right"/>
            </w:pPr>
            <w:r/>
            <w:r>
              <w:rPr>
                <w:rFonts w:ascii="Montserrat" w:hAnsi="Montserrat" w:eastAsia="Montserrat"/>
                <w:b/>
                <w:i w:val="0"/>
                <w:color w:val="FFFFFF"/>
                <w:sz w:val="17"/>
              </w:rPr>
              <w:t>$ MM</w:t>
            </w:r>
          </w:p>
        </w:tc>
        <w:tc>
          <w:tcPr>
            <w:tcW w:type="dxa" w:w="1587"/>
            <w:shd w:val="clear" w:fill="0C2340"/>
          </w:tcPr>
          <w:p>
            <w:pPr>
              <w:spacing w:after="20" w:before="20"/>
              <w:jc w:val="right"/>
            </w:pPr>
            <w:r/>
            <w:r>
              <w:rPr>
                <w:rFonts w:ascii="Montserrat" w:hAnsi="Montserrat" w:eastAsia="Montserrat"/>
                <w:b/>
                <w:i w:val="0"/>
                <w:color w:val="FFFFFF"/>
                <w:sz w:val="17"/>
              </w:rPr>
              <w:t>% pagos</w:t>
            </w:r>
          </w:p>
        </w:tc>
      </w:tr>
      <w:tr>
        <w:tc>
          <w:tcPr>
            <w:tcW w:type="dxa" w:w="4195"/>
          </w:tcPr>
          <w:p>
            <w:pPr>
              <w:spacing w:after="20" w:before="20"/>
            </w:pPr>
            <w:r/>
            <w:r>
              <w:rPr>
                <w:rFonts w:ascii="Open Sans" w:hAnsi="Open Sans" w:eastAsia="Open Sans"/>
                <w:b w:val="0"/>
                <w:i w:val="0"/>
                <w:color w:val="222222"/>
                <w:sz w:val="17"/>
              </w:rPr>
              <w:t>Mismo día</w:t>
            </w:r>
          </w:p>
        </w:tc>
        <w:tc>
          <w:tcPr>
            <w:tcW w:type="dxa" w:w="1474"/>
          </w:tcPr>
          <w:p>
            <w:pPr>
              <w:spacing w:after="20" w:before="20"/>
              <w:jc w:val="right"/>
            </w:pPr>
            <w:r/>
            <w:r>
              <w:rPr>
                <w:rFonts w:ascii="Open Sans" w:hAnsi="Open Sans" w:eastAsia="Open Sans"/>
                <w:b w:val="0"/>
                <w:i w:val="0"/>
                <w:color w:val="222222"/>
                <w:sz w:val="17"/>
              </w:rPr>
              <w:t>742</w:t>
            </w:r>
          </w:p>
        </w:tc>
        <w:tc>
          <w:tcPr>
            <w:tcW w:type="dxa" w:w="1531"/>
          </w:tcPr>
          <w:p>
            <w:pPr>
              <w:spacing w:after="20" w:before="20"/>
              <w:jc w:val="right"/>
            </w:pPr>
            <w:r/>
            <w:r>
              <w:rPr>
                <w:rFonts w:ascii="Open Sans" w:hAnsi="Open Sans" w:eastAsia="Open Sans"/>
                <w:b w:val="0"/>
                <w:i w:val="0"/>
                <w:color w:val="222222"/>
                <w:sz w:val="17"/>
              </w:rPr>
              <w:t>221,9</w:t>
            </w:r>
          </w:p>
        </w:tc>
        <w:tc>
          <w:tcPr>
            <w:tcW w:type="dxa" w:w="1587"/>
          </w:tcPr>
          <w:p>
            <w:pPr>
              <w:spacing w:after="20" w:before="20"/>
              <w:jc w:val="right"/>
            </w:pPr>
            <w:r/>
            <w:r>
              <w:rPr>
                <w:rFonts w:ascii="Open Sans" w:hAnsi="Open Sans" w:eastAsia="Open Sans"/>
                <w:b w:val="0"/>
                <w:i w:val="0"/>
                <w:color w:val="222222"/>
                <w:sz w:val="17"/>
              </w:rPr>
              <w:t>8,0%</w:t>
            </w:r>
          </w:p>
        </w:tc>
      </w:tr>
      <w:tr>
        <w:tc>
          <w:tcPr>
            <w:tcW w:type="dxa" w:w="4195"/>
            <w:shd w:val="clear" w:fill="F8F9FA"/>
          </w:tcPr>
          <w:p>
            <w:pPr>
              <w:spacing w:after="20" w:before="20"/>
            </w:pPr>
            <w:r/>
            <w:r>
              <w:rPr>
                <w:rFonts w:ascii="Open Sans" w:hAnsi="Open Sans" w:eastAsia="Open Sans"/>
                <w:b w:val="0"/>
                <w:i w:val="0"/>
                <w:color w:val="222222"/>
                <w:sz w:val="17"/>
              </w:rPr>
              <w:t>1 a 3 días</w:t>
            </w:r>
          </w:p>
        </w:tc>
        <w:tc>
          <w:tcPr>
            <w:tcW w:type="dxa" w:w="1474"/>
            <w:shd w:val="clear" w:fill="F8F9FA"/>
          </w:tcPr>
          <w:p>
            <w:pPr>
              <w:spacing w:after="20" w:before="20"/>
              <w:jc w:val="right"/>
            </w:pPr>
            <w:r/>
            <w:r>
              <w:rPr>
                <w:rFonts w:ascii="Open Sans" w:hAnsi="Open Sans" w:eastAsia="Open Sans"/>
                <w:b w:val="0"/>
                <w:i w:val="0"/>
                <w:color w:val="222222"/>
                <w:sz w:val="17"/>
              </w:rPr>
              <w:t>2.042</w:t>
            </w:r>
          </w:p>
        </w:tc>
        <w:tc>
          <w:tcPr>
            <w:tcW w:type="dxa" w:w="1531"/>
            <w:shd w:val="clear" w:fill="F8F9FA"/>
          </w:tcPr>
          <w:p>
            <w:pPr>
              <w:spacing w:after="20" w:before="20"/>
              <w:jc w:val="right"/>
            </w:pPr>
            <w:r/>
            <w:r>
              <w:rPr>
                <w:rFonts w:ascii="Open Sans" w:hAnsi="Open Sans" w:eastAsia="Open Sans"/>
                <w:b w:val="0"/>
                <w:i w:val="0"/>
                <w:color w:val="222222"/>
                <w:sz w:val="17"/>
              </w:rPr>
              <w:t>570,8</w:t>
            </w:r>
          </w:p>
        </w:tc>
        <w:tc>
          <w:tcPr>
            <w:tcW w:type="dxa" w:w="1587"/>
            <w:shd w:val="clear" w:fill="F8F9FA"/>
          </w:tcPr>
          <w:p>
            <w:pPr>
              <w:spacing w:after="20" w:before="20"/>
              <w:jc w:val="right"/>
            </w:pPr>
            <w:r/>
            <w:r>
              <w:rPr>
                <w:rFonts w:ascii="Open Sans" w:hAnsi="Open Sans" w:eastAsia="Open Sans"/>
                <w:b w:val="0"/>
                <w:i w:val="0"/>
                <w:color w:val="222222"/>
                <w:sz w:val="17"/>
              </w:rPr>
              <w:t>22,0%</w:t>
            </w:r>
          </w:p>
        </w:tc>
      </w:tr>
      <w:tr>
        <w:tc>
          <w:tcPr>
            <w:tcW w:type="dxa" w:w="4195"/>
          </w:tcPr>
          <w:p>
            <w:pPr>
              <w:spacing w:after="20" w:before="20"/>
            </w:pPr>
            <w:r/>
            <w:r>
              <w:rPr>
                <w:rFonts w:ascii="Open Sans" w:hAnsi="Open Sans" w:eastAsia="Open Sans"/>
                <w:b w:val="0"/>
                <w:i w:val="0"/>
                <w:color w:val="222222"/>
                <w:sz w:val="17"/>
              </w:rPr>
              <w:t>4 a 7 días</w:t>
            </w:r>
          </w:p>
        </w:tc>
        <w:tc>
          <w:tcPr>
            <w:tcW w:type="dxa" w:w="1474"/>
          </w:tcPr>
          <w:p>
            <w:pPr>
              <w:spacing w:after="20" w:before="20"/>
              <w:jc w:val="right"/>
            </w:pPr>
            <w:r/>
            <w:r>
              <w:rPr>
                <w:rFonts w:ascii="Open Sans" w:hAnsi="Open Sans" w:eastAsia="Open Sans"/>
                <w:b w:val="0"/>
                <w:i w:val="0"/>
                <w:color w:val="222222"/>
                <w:sz w:val="17"/>
              </w:rPr>
              <w:t>835</w:t>
            </w:r>
          </w:p>
        </w:tc>
        <w:tc>
          <w:tcPr>
            <w:tcW w:type="dxa" w:w="1531"/>
          </w:tcPr>
          <w:p>
            <w:pPr>
              <w:spacing w:after="20" w:before="20"/>
              <w:jc w:val="right"/>
            </w:pPr>
            <w:r/>
            <w:r>
              <w:rPr>
                <w:rFonts w:ascii="Open Sans" w:hAnsi="Open Sans" w:eastAsia="Open Sans"/>
                <w:b w:val="0"/>
                <w:i w:val="0"/>
                <w:color w:val="222222"/>
                <w:sz w:val="17"/>
              </w:rPr>
              <w:t>201,5</w:t>
            </w:r>
          </w:p>
        </w:tc>
        <w:tc>
          <w:tcPr>
            <w:tcW w:type="dxa" w:w="1587"/>
          </w:tcPr>
          <w:p>
            <w:pPr>
              <w:spacing w:after="20" w:before="20"/>
              <w:jc w:val="right"/>
            </w:pPr>
            <w:r/>
            <w:r>
              <w:rPr>
                <w:rFonts w:ascii="Open Sans" w:hAnsi="Open Sans" w:eastAsia="Open Sans"/>
                <w:b w:val="0"/>
                <w:i w:val="0"/>
                <w:color w:val="222222"/>
                <w:sz w:val="17"/>
              </w:rPr>
              <w:t>9,0%</w:t>
            </w:r>
          </w:p>
        </w:tc>
      </w:tr>
      <w:tr>
        <w:tc>
          <w:tcPr>
            <w:tcW w:type="dxa" w:w="4195"/>
            <w:shd w:val="clear" w:fill="F8F9FA"/>
          </w:tcPr>
          <w:p>
            <w:pPr>
              <w:spacing w:after="20" w:before="20"/>
            </w:pPr>
            <w:r/>
            <w:r>
              <w:rPr>
                <w:rFonts w:ascii="Open Sans" w:hAnsi="Open Sans" w:eastAsia="Open Sans"/>
                <w:b w:val="0"/>
                <w:i w:val="0"/>
                <w:color w:val="222222"/>
                <w:sz w:val="17"/>
              </w:rPr>
              <w:t>8 a 15 días</w:t>
            </w:r>
          </w:p>
        </w:tc>
        <w:tc>
          <w:tcPr>
            <w:tcW w:type="dxa" w:w="1474"/>
            <w:shd w:val="clear" w:fill="F8F9FA"/>
          </w:tcPr>
          <w:p>
            <w:pPr>
              <w:spacing w:after="20" w:before="20"/>
              <w:jc w:val="right"/>
            </w:pPr>
            <w:r/>
            <w:r>
              <w:rPr>
                <w:rFonts w:ascii="Open Sans" w:hAnsi="Open Sans" w:eastAsia="Open Sans"/>
                <w:b w:val="0"/>
                <w:i w:val="0"/>
                <w:color w:val="222222"/>
                <w:sz w:val="17"/>
              </w:rPr>
              <w:t>1.511</w:t>
            </w:r>
          </w:p>
        </w:tc>
        <w:tc>
          <w:tcPr>
            <w:tcW w:type="dxa" w:w="1531"/>
            <w:shd w:val="clear" w:fill="F8F9FA"/>
          </w:tcPr>
          <w:p>
            <w:pPr>
              <w:spacing w:after="20" w:before="20"/>
              <w:jc w:val="right"/>
            </w:pPr>
            <w:r/>
            <w:r>
              <w:rPr>
                <w:rFonts w:ascii="Open Sans" w:hAnsi="Open Sans" w:eastAsia="Open Sans"/>
                <w:b w:val="0"/>
                <w:i w:val="0"/>
                <w:color w:val="222222"/>
                <w:sz w:val="17"/>
              </w:rPr>
              <w:t>366,0</w:t>
            </w:r>
          </w:p>
        </w:tc>
        <w:tc>
          <w:tcPr>
            <w:tcW w:type="dxa" w:w="1587"/>
            <w:shd w:val="clear" w:fill="F8F9FA"/>
          </w:tcPr>
          <w:p>
            <w:pPr>
              <w:spacing w:after="20" w:before="20"/>
              <w:jc w:val="right"/>
            </w:pPr>
            <w:r/>
            <w:r>
              <w:rPr>
                <w:rFonts w:ascii="Open Sans" w:hAnsi="Open Sans" w:eastAsia="Open Sans"/>
                <w:b w:val="0"/>
                <w:i w:val="0"/>
                <w:color w:val="222222"/>
                <w:sz w:val="17"/>
              </w:rPr>
              <w:t>16,3%</w:t>
            </w:r>
          </w:p>
        </w:tc>
      </w:tr>
      <w:tr>
        <w:tc>
          <w:tcPr>
            <w:tcW w:type="dxa" w:w="4195"/>
          </w:tcPr>
          <w:p>
            <w:pPr>
              <w:spacing w:after="20" w:before="20"/>
            </w:pPr>
            <w:r/>
            <w:r>
              <w:rPr>
                <w:rFonts w:ascii="Open Sans" w:hAnsi="Open Sans" w:eastAsia="Open Sans"/>
                <w:b w:val="0"/>
                <w:i w:val="0"/>
                <w:color w:val="222222"/>
                <w:sz w:val="17"/>
              </w:rPr>
              <w:t>Más de 15 días</w:t>
            </w:r>
          </w:p>
        </w:tc>
        <w:tc>
          <w:tcPr>
            <w:tcW w:type="dxa" w:w="1474"/>
          </w:tcPr>
          <w:p>
            <w:pPr>
              <w:spacing w:after="20" w:before="20"/>
              <w:jc w:val="right"/>
            </w:pPr>
            <w:r/>
            <w:r>
              <w:rPr>
                <w:rFonts w:ascii="Open Sans" w:hAnsi="Open Sans" w:eastAsia="Open Sans"/>
                <w:b w:val="0"/>
                <w:i w:val="0"/>
                <w:color w:val="222222"/>
                <w:sz w:val="17"/>
              </w:rPr>
              <w:t>2.078</w:t>
            </w:r>
          </w:p>
        </w:tc>
        <w:tc>
          <w:tcPr>
            <w:tcW w:type="dxa" w:w="1531"/>
          </w:tcPr>
          <w:p>
            <w:pPr>
              <w:spacing w:after="20" w:before="20"/>
              <w:jc w:val="right"/>
            </w:pPr>
            <w:r/>
            <w:r>
              <w:rPr>
                <w:rFonts w:ascii="Open Sans" w:hAnsi="Open Sans" w:eastAsia="Open Sans"/>
                <w:b w:val="0"/>
                <w:i w:val="0"/>
                <w:color w:val="222222"/>
                <w:sz w:val="17"/>
              </w:rPr>
              <w:t>500,4</w:t>
            </w:r>
          </w:p>
        </w:tc>
        <w:tc>
          <w:tcPr>
            <w:tcW w:type="dxa" w:w="1587"/>
          </w:tcPr>
          <w:p>
            <w:pPr>
              <w:spacing w:after="20" w:before="20"/>
              <w:jc w:val="right"/>
            </w:pPr>
            <w:r/>
            <w:r>
              <w:rPr>
                <w:rFonts w:ascii="Open Sans" w:hAnsi="Open Sans" w:eastAsia="Open Sans"/>
                <w:b w:val="0"/>
                <w:i w:val="0"/>
                <w:color w:val="222222"/>
                <w:sz w:val="17"/>
              </w:rPr>
              <w:t>22,4%</w:t>
            </w:r>
          </w:p>
        </w:tc>
      </w:tr>
      <w:tr>
        <w:tc>
          <w:tcPr>
            <w:tcW w:type="dxa" w:w="4195"/>
            <w:shd w:val="clear" w:fill="F8F9FA"/>
          </w:tcPr>
          <w:p>
            <w:pPr>
              <w:spacing w:after="20" w:before="20"/>
            </w:pPr>
            <w:r/>
            <w:r>
              <w:rPr>
                <w:rFonts w:ascii="Open Sans" w:hAnsi="Open Sans" w:eastAsia="Open Sans"/>
                <w:b w:val="0"/>
                <w:i w:val="0"/>
                <w:color w:val="222222"/>
                <w:sz w:val="17"/>
              </w:rPr>
              <w:t>Pago anterior al último contacto</w:t>
            </w:r>
          </w:p>
        </w:tc>
        <w:tc>
          <w:tcPr>
            <w:tcW w:type="dxa" w:w="1474"/>
            <w:shd w:val="clear" w:fill="F8F9FA"/>
          </w:tcPr>
          <w:p>
            <w:pPr>
              <w:spacing w:after="20" w:before="20"/>
              <w:jc w:val="right"/>
            </w:pPr>
            <w:r/>
            <w:r>
              <w:rPr>
                <w:rFonts w:ascii="Open Sans" w:hAnsi="Open Sans" w:eastAsia="Open Sans"/>
                <w:b w:val="0"/>
                <w:i w:val="0"/>
                <w:color w:val="222222"/>
                <w:sz w:val="17"/>
              </w:rPr>
              <w:t>2.073</w:t>
            </w:r>
          </w:p>
        </w:tc>
        <w:tc>
          <w:tcPr>
            <w:tcW w:type="dxa" w:w="1531"/>
            <w:shd w:val="clear" w:fill="F8F9FA"/>
          </w:tcPr>
          <w:p>
            <w:pPr>
              <w:spacing w:after="20" w:before="20"/>
              <w:jc w:val="right"/>
            </w:pPr>
            <w:r/>
            <w:r>
              <w:rPr>
                <w:rFonts w:ascii="Open Sans" w:hAnsi="Open Sans" w:eastAsia="Open Sans"/>
                <w:b w:val="0"/>
                <w:i w:val="0"/>
                <w:color w:val="222222"/>
                <w:sz w:val="17"/>
              </w:rPr>
              <w:t>548,1</w:t>
            </w:r>
          </w:p>
        </w:tc>
        <w:tc>
          <w:tcPr>
            <w:tcW w:type="dxa" w:w="1587"/>
            <w:shd w:val="clear" w:fill="F8F9FA"/>
          </w:tcPr>
          <w:p>
            <w:pPr>
              <w:spacing w:after="20" w:before="20"/>
              <w:jc w:val="right"/>
            </w:pPr>
            <w:r/>
            <w:r>
              <w:rPr>
                <w:rFonts w:ascii="Open Sans" w:hAnsi="Open Sans" w:eastAsia="Open Sans"/>
                <w:b w:val="0"/>
                <w:i w:val="0"/>
                <w:color w:val="222222"/>
                <w:sz w:val="17"/>
              </w:rPr>
              <w:t>22,3%</w:t>
            </w:r>
          </w:p>
        </w:tc>
      </w:tr>
    </w:tbl>
    <w:p>
      <w:pPr>
        <w:spacing w:after="60" w:before="0" w:line="264" w:lineRule="auto"/>
      </w:pPr>
    </w:p>
    <w:p>
      <w:pPr>
        <w:spacing w:after="60" w:before="0" w:line="264" w:lineRule="auto"/>
      </w:pPr>
      <w:r>
        <w:rPr>
          <w:rFonts w:ascii="Montserrat" w:hAnsi="Montserrat" w:eastAsia="Montserrat"/>
          <w:b/>
          <w:i w:val="0"/>
          <w:color w:val="1B365D"/>
          <w:sz w:val="20"/>
        </w:rPr>
        <w:t>Distribución del esfuerzo y del resultado dentro del mes</w:t>
      </w:r>
    </w:p>
    <w:tbl>
      <w:tblPr>
        <w:tblStyle w:val="TableGrid"/>
        <w:tblW w:type="auto" w:w="0"/>
        <w:jc w:val="center"/>
        <w:tblLook w:firstColumn="1" w:firstRow="1" w:lastColumn="0" w:lastRow="0" w:noHBand="0" w:noVBand="1" w:val="04A0"/>
      </w:tblPr>
      <w:tblGrid>
        <w:gridCol w:w="1408"/>
        <w:gridCol w:w="1408"/>
        <w:gridCol w:w="1408"/>
        <w:gridCol w:w="1408"/>
        <w:gridCol w:w="1408"/>
        <w:gridCol w:w="1408"/>
        <w:gridCol w:w="1408"/>
      </w:tblGrid>
      <w:tr>
        <w:tc>
          <w:tcPr>
            <w:tcW w:type="dxa" w:w="1701"/>
            <w:shd w:val="clear" w:fill="0C2340"/>
          </w:tcPr>
          <w:p>
            <w:pPr>
              <w:spacing w:after="20" w:before="20"/>
            </w:pPr>
            <w:r/>
            <w:r>
              <w:rPr>
                <w:rFonts w:ascii="Montserrat" w:hAnsi="Montserrat" w:eastAsia="Montserrat"/>
                <w:b/>
                <w:i w:val="0"/>
                <w:color w:val="FFFFFF"/>
                <w:sz w:val="17"/>
              </w:rPr>
              <w:t>Semana</w:t>
            </w:r>
          </w:p>
        </w:tc>
        <w:tc>
          <w:tcPr>
            <w:tcW w:type="dxa" w:w="1247"/>
            <w:shd w:val="clear" w:fill="0C2340"/>
          </w:tcPr>
          <w:p>
            <w:pPr>
              <w:spacing w:after="20" w:before="20"/>
              <w:jc w:val="right"/>
            </w:pPr>
            <w:r/>
            <w:r>
              <w:rPr>
                <w:rFonts w:ascii="Montserrat" w:hAnsi="Montserrat" w:eastAsia="Montserrat"/>
                <w:b/>
                <w:i w:val="0"/>
                <w:color w:val="FFFFFF"/>
                <w:sz w:val="17"/>
              </w:rPr>
              <w:t>1 ago</w:t>
            </w:r>
          </w:p>
        </w:tc>
        <w:tc>
          <w:tcPr>
            <w:tcW w:type="dxa" w:w="1361"/>
            <w:shd w:val="clear" w:fill="0C2340"/>
          </w:tcPr>
          <w:p>
            <w:pPr>
              <w:spacing w:after="20" w:before="20"/>
              <w:jc w:val="right"/>
            </w:pPr>
            <w:r/>
            <w:r>
              <w:rPr>
                <w:rFonts w:ascii="Montserrat" w:hAnsi="Montserrat" w:eastAsia="Montserrat"/>
                <w:b/>
                <w:i w:val="0"/>
                <w:color w:val="FFFFFF"/>
                <w:sz w:val="17"/>
              </w:rPr>
              <w:t>3–8 ago</w:t>
            </w:r>
          </w:p>
        </w:tc>
        <w:tc>
          <w:tcPr>
            <w:tcW w:type="dxa" w:w="1474"/>
            <w:shd w:val="clear" w:fill="0C2340"/>
          </w:tcPr>
          <w:p>
            <w:pPr>
              <w:spacing w:after="20" w:before="20"/>
              <w:jc w:val="right"/>
            </w:pPr>
            <w:r/>
            <w:r>
              <w:rPr>
                <w:rFonts w:ascii="Montserrat" w:hAnsi="Montserrat" w:eastAsia="Montserrat"/>
                <w:b/>
                <w:i w:val="0"/>
                <w:color w:val="FFFFFF"/>
                <w:sz w:val="17"/>
              </w:rPr>
              <w:t>10–15 ago</w:t>
            </w:r>
          </w:p>
        </w:tc>
        <w:tc>
          <w:tcPr>
            <w:tcW w:type="dxa" w:w="1474"/>
            <w:shd w:val="clear" w:fill="0C2340"/>
          </w:tcPr>
          <w:p>
            <w:pPr>
              <w:spacing w:after="20" w:before="20"/>
              <w:jc w:val="right"/>
            </w:pPr>
            <w:r/>
            <w:r>
              <w:rPr>
                <w:rFonts w:ascii="Montserrat" w:hAnsi="Montserrat" w:eastAsia="Montserrat"/>
                <w:b/>
                <w:i w:val="0"/>
                <w:color w:val="FFFFFF"/>
                <w:sz w:val="17"/>
              </w:rPr>
              <w:t>17–22 ago</w:t>
            </w:r>
          </w:p>
        </w:tc>
        <w:tc>
          <w:tcPr>
            <w:tcW w:type="dxa" w:w="1474"/>
            <w:shd w:val="clear" w:fill="0C2340"/>
          </w:tcPr>
          <w:p>
            <w:pPr>
              <w:spacing w:after="20" w:before="20"/>
              <w:jc w:val="right"/>
            </w:pPr>
            <w:r/>
            <w:r>
              <w:rPr>
                <w:rFonts w:ascii="Montserrat" w:hAnsi="Montserrat" w:eastAsia="Montserrat"/>
                <w:b/>
                <w:i w:val="0"/>
                <w:color w:val="FFFFFF"/>
                <w:sz w:val="17"/>
              </w:rPr>
              <w:t>24–29 ago</w:t>
            </w:r>
          </w:p>
        </w:tc>
        <w:tc>
          <w:tcPr>
            <w:tcW w:type="dxa" w:w="1247"/>
            <w:shd w:val="clear" w:fill="0C2340"/>
          </w:tcPr>
          <w:p>
            <w:pPr>
              <w:spacing w:after="20" w:before="20"/>
              <w:jc w:val="right"/>
            </w:pPr>
            <w:r/>
            <w:r>
              <w:rPr>
                <w:rFonts w:ascii="Montserrat" w:hAnsi="Montserrat" w:eastAsia="Montserrat"/>
                <w:b/>
                <w:i w:val="0"/>
                <w:color w:val="FFFFFF"/>
                <w:sz w:val="17"/>
              </w:rPr>
              <w:t>31 ago</w:t>
            </w:r>
          </w:p>
        </w:tc>
      </w:tr>
      <w:tr>
        <w:tc>
          <w:tcPr>
            <w:tcW w:type="dxa" w:w="1701"/>
          </w:tcPr>
          <w:p>
            <w:pPr>
              <w:spacing w:after="20" w:before="20"/>
            </w:pPr>
            <w:r/>
            <w:r>
              <w:rPr>
                <w:rFonts w:ascii="Open Sans" w:hAnsi="Open Sans" w:eastAsia="Open Sans"/>
                <w:b w:val="0"/>
                <w:i w:val="0"/>
                <w:color w:val="222222"/>
                <w:sz w:val="17"/>
              </w:rPr>
              <w:t>Gestiones</w:t>
            </w:r>
          </w:p>
        </w:tc>
        <w:tc>
          <w:tcPr>
            <w:tcW w:type="dxa" w:w="1247"/>
          </w:tcPr>
          <w:p>
            <w:pPr>
              <w:spacing w:after="20" w:before="20"/>
              <w:jc w:val="right"/>
            </w:pPr>
            <w:r/>
            <w:r>
              <w:rPr>
                <w:rFonts w:ascii="Open Sans" w:hAnsi="Open Sans" w:eastAsia="Open Sans"/>
                <w:b w:val="0"/>
                <w:i w:val="0"/>
                <w:color w:val="222222"/>
                <w:sz w:val="17"/>
              </w:rPr>
              <w:t>243</w:t>
            </w:r>
          </w:p>
        </w:tc>
        <w:tc>
          <w:tcPr>
            <w:tcW w:type="dxa" w:w="1361"/>
          </w:tcPr>
          <w:p>
            <w:pPr>
              <w:spacing w:after="20" w:before="20"/>
              <w:jc w:val="right"/>
            </w:pPr>
            <w:r/>
            <w:r>
              <w:rPr>
                <w:rFonts w:ascii="Open Sans" w:hAnsi="Open Sans" w:eastAsia="Open Sans"/>
                <w:b w:val="0"/>
                <w:i w:val="0"/>
                <w:color w:val="222222"/>
                <w:sz w:val="17"/>
              </w:rPr>
              <w:t>3.574</w:t>
            </w:r>
          </w:p>
        </w:tc>
        <w:tc>
          <w:tcPr>
            <w:tcW w:type="dxa" w:w="1474"/>
          </w:tcPr>
          <w:p>
            <w:pPr>
              <w:spacing w:after="20" w:before="20"/>
              <w:jc w:val="right"/>
            </w:pPr>
            <w:r/>
            <w:r>
              <w:rPr>
                <w:rFonts w:ascii="Open Sans" w:hAnsi="Open Sans" w:eastAsia="Open Sans"/>
                <w:b w:val="0"/>
                <w:i w:val="0"/>
                <w:color w:val="222222"/>
                <w:sz w:val="17"/>
              </w:rPr>
              <w:t>4.391</w:t>
            </w:r>
          </w:p>
        </w:tc>
        <w:tc>
          <w:tcPr>
            <w:tcW w:type="dxa" w:w="1474"/>
          </w:tcPr>
          <w:p>
            <w:pPr>
              <w:spacing w:after="20" w:before="20"/>
              <w:jc w:val="right"/>
            </w:pPr>
            <w:r/>
            <w:r>
              <w:rPr>
                <w:rFonts w:ascii="Open Sans" w:hAnsi="Open Sans" w:eastAsia="Open Sans"/>
                <w:b w:val="0"/>
                <w:i w:val="0"/>
                <w:color w:val="222222"/>
                <w:sz w:val="17"/>
              </w:rPr>
              <w:t>5.106</w:t>
            </w:r>
          </w:p>
        </w:tc>
        <w:tc>
          <w:tcPr>
            <w:tcW w:type="dxa" w:w="1474"/>
          </w:tcPr>
          <w:p>
            <w:pPr>
              <w:spacing w:after="20" w:before="20"/>
              <w:jc w:val="right"/>
            </w:pPr>
            <w:r/>
            <w:r>
              <w:rPr>
                <w:rFonts w:ascii="Open Sans" w:hAnsi="Open Sans" w:eastAsia="Open Sans"/>
                <w:b w:val="0"/>
                <w:i w:val="0"/>
                <w:color w:val="222222"/>
                <w:sz w:val="17"/>
              </w:rPr>
              <w:t>7.690</w:t>
            </w:r>
          </w:p>
        </w:tc>
        <w:tc>
          <w:tcPr>
            <w:tcW w:type="dxa" w:w="1247"/>
          </w:tcPr>
          <w:p>
            <w:pPr>
              <w:spacing w:after="20" w:before="20"/>
              <w:jc w:val="right"/>
            </w:pPr>
            <w:r/>
            <w:r>
              <w:rPr>
                <w:rFonts w:ascii="Open Sans" w:hAnsi="Open Sans" w:eastAsia="Open Sans"/>
                <w:b w:val="0"/>
                <w:i w:val="0"/>
                <w:color w:val="222222"/>
                <w:sz w:val="17"/>
              </w:rPr>
              <w:t>1.937</w:t>
            </w:r>
          </w:p>
        </w:tc>
      </w:tr>
      <w:tr>
        <w:tc>
          <w:tcPr>
            <w:tcW w:type="dxa" w:w="1701"/>
            <w:shd w:val="clear" w:fill="F8F9FA"/>
          </w:tcPr>
          <w:p>
            <w:pPr>
              <w:spacing w:after="20" w:before="20"/>
            </w:pPr>
            <w:r/>
            <w:r>
              <w:rPr>
                <w:rFonts w:ascii="Open Sans" w:hAnsi="Open Sans" w:eastAsia="Open Sans"/>
                <w:b w:val="0"/>
                <w:i w:val="0"/>
                <w:color w:val="222222"/>
                <w:sz w:val="17"/>
              </w:rPr>
              <w:t>Pagos</w:t>
            </w:r>
          </w:p>
        </w:tc>
        <w:tc>
          <w:tcPr>
            <w:tcW w:type="dxa" w:w="1247"/>
            <w:shd w:val="clear" w:fill="F8F9FA"/>
          </w:tcPr>
          <w:p>
            <w:pPr>
              <w:spacing w:after="20" w:before="20"/>
              <w:jc w:val="right"/>
            </w:pPr>
            <w:r/>
            <w:r>
              <w:rPr>
                <w:rFonts w:ascii="Open Sans" w:hAnsi="Open Sans" w:eastAsia="Open Sans"/>
                <w:b w:val="0"/>
                <w:i w:val="0"/>
                <w:color w:val="222222"/>
                <w:sz w:val="17"/>
              </w:rPr>
              <w:t>161</w:t>
            </w:r>
          </w:p>
        </w:tc>
        <w:tc>
          <w:tcPr>
            <w:tcW w:type="dxa" w:w="1361"/>
            <w:shd w:val="clear" w:fill="F8F9FA"/>
          </w:tcPr>
          <w:p>
            <w:pPr>
              <w:spacing w:after="20" w:before="20"/>
              <w:jc w:val="right"/>
            </w:pPr>
            <w:r/>
            <w:r>
              <w:rPr>
                <w:rFonts w:ascii="Open Sans" w:hAnsi="Open Sans" w:eastAsia="Open Sans"/>
                <w:b w:val="0"/>
                <w:i w:val="0"/>
                <w:color w:val="222222"/>
                <w:sz w:val="17"/>
              </w:rPr>
              <w:t>2.378</w:t>
            </w:r>
          </w:p>
        </w:tc>
        <w:tc>
          <w:tcPr>
            <w:tcW w:type="dxa" w:w="1474"/>
            <w:shd w:val="clear" w:fill="F8F9FA"/>
          </w:tcPr>
          <w:p>
            <w:pPr>
              <w:spacing w:after="20" w:before="20"/>
              <w:jc w:val="right"/>
            </w:pPr>
            <w:r/>
            <w:r>
              <w:rPr>
                <w:rFonts w:ascii="Open Sans" w:hAnsi="Open Sans" w:eastAsia="Open Sans"/>
                <w:b w:val="0"/>
                <w:i w:val="0"/>
                <w:color w:val="222222"/>
                <w:sz w:val="17"/>
              </w:rPr>
              <w:t>1.216</w:t>
            </w:r>
          </w:p>
        </w:tc>
        <w:tc>
          <w:tcPr>
            <w:tcW w:type="dxa" w:w="1474"/>
            <w:shd w:val="clear" w:fill="F8F9FA"/>
          </w:tcPr>
          <w:p>
            <w:pPr>
              <w:spacing w:after="20" w:before="20"/>
              <w:jc w:val="right"/>
            </w:pPr>
            <w:r/>
            <w:r>
              <w:rPr>
                <w:rFonts w:ascii="Open Sans" w:hAnsi="Open Sans" w:eastAsia="Open Sans"/>
                <w:b w:val="0"/>
                <w:i w:val="0"/>
                <w:color w:val="222222"/>
                <w:sz w:val="17"/>
              </w:rPr>
              <w:t>2.449</w:t>
            </w:r>
          </w:p>
        </w:tc>
        <w:tc>
          <w:tcPr>
            <w:tcW w:type="dxa" w:w="1474"/>
            <w:shd w:val="clear" w:fill="F8F9FA"/>
          </w:tcPr>
          <w:p>
            <w:pPr>
              <w:spacing w:after="20" w:before="20"/>
              <w:jc w:val="right"/>
            </w:pPr>
            <w:r/>
            <w:r>
              <w:rPr>
                <w:rFonts w:ascii="Open Sans" w:hAnsi="Open Sans" w:eastAsia="Open Sans"/>
                <w:b w:val="0"/>
                <w:i w:val="0"/>
                <w:color w:val="222222"/>
                <w:sz w:val="17"/>
              </w:rPr>
              <w:t>2.675</w:t>
            </w:r>
          </w:p>
        </w:tc>
        <w:tc>
          <w:tcPr>
            <w:tcW w:type="dxa" w:w="1247"/>
            <w:shd w:val="clear" w:fill="F8F9FA"/>
          </w:tcPr>
          <w:p>
            <w:pPr>
              <w:spacing w:after="20" w:before="20"/>
              <w:jc w:val="right"/>
            </w:pPr>
            <w:r/>
            <w:r>
              <w:rPr>
                <w:rFonts w:ascii="Open Sans" w:hAnsi="Open Sans" w:eastAsia="Open Sans"/>
                <w:b w:val="0"/>
                <w:i w:val="0"/>
                <w:color w:val="222222"/>
                <w:sz w:val="17"/>
              </w:rPr>
              <w:t>402</w:t>
            </w:r>
          </w:p>
        </w:tc>
      </w:tr>
      <w:tr>
        <w:tc>
          <w:tcPr>
            <w:tcW w:type="dxa" w:w="1701"/>
          </w:tcPr>
          <w:p>
            <w:pPr>
              <w:spacing w:after="20" w:before="20"/>
            </w:pPr>
            <w:r/>
            <w:r>
              <w:rPr>
                <w:rFonts w:ascii="Open Sans" w:hAnsi="Open Sans" w:eastAsia="Open Sans"/>
                <w:b w:val="0"/>
                <w:i w:val="0"/>
                <w:color w:val="222222"/>
                <w:sz w:val="17"/>
              </w:rPr>
              <w:t>Valor ($ MM)</w:t>
            </w:r>
          </w:p>
        </w:tc>
        <w:tc>
          <w:tcPr>
            <w:tcW w:type="dxa" w:w="1247"/>
          </w:tcPr>
          <w:p>
            <w:pPr>
              <w:spacing w:after="20" w:before="20"/>
              <w:jc w:val="right"/>
            </w:pPr>
            <w:r/>
            <w:r>
              <w:rPr>
                <w:rFonts w:ascii="Open Sans" w:hAnsi="Open Sans" w:eastAsia="Open Sans"/>
                <w:b w:val="0"/>
                <w:i w:val="0"/>
                <w:color w:val="222222"/>
                <w:sz w:val="17"/>
              </w:rPr>
              <w:t>43,2</w:t>
            </w:r>
          </w:p>
        </w:tc>
        <w:tc>
          <w:tcPr>
            <w:tcW w:type="dxa" w:w="1361"/>
          </w:tcPr>
          <w:p>
            <w:pPr>
              <w:spacing w:after="20" w:before="20"/>
              <w:jc w:val="right"/>
            </w:pPr>
            <w:r/>
            <w:r>
              <w:rPr>
                <w:rFonts w:ascii="Open Sans" w:hAnsi="Open Sans" w:eastAsia="Open Sans"/>
                <w:b w:val="0"/>
                <w:i w:val="0"/>
                <w:color w:val="222222"/>
                <w:sz w:val="17"/>
              </w:rPr>
              <w:t>622,8</w:t>
            </w:r>
          </w:p>
        </w:tc>
        <w:tc>
          <w:tcPr>
            <w:tcW w:type="dxa" w:w="1474"/>
          </w:tcPr>
          <w:p>
            <w:pPr>
              <w:spacing w:after="20" w:before="20"/>
              <w:jc w:val="right"/>
            </w:pPr>
            <w:r/>
            <w:r>
              <w:rPr>
                <w:rFonts w:ascii="Open Sans" w:hAnsi="Open Sans" w:eastAsia="Open Sans"/>
                <w:b w:val="0"/>
                <w:i w:val="0"/>
                <w:color w:val="222222"/>
                <w:sz w:val="17"/>
              </w:rPr>
              <w:t>329,7</w:t>
            </w:r>
          </w:p>
        </w:tc>
        <w:tc>
          <w:tcPr>
            <w:tcW w:type="dxa" w:w="1474"/>
          </w:tcPr>
          <w:p>
            <w:pPr>
              <w:spacing w:after="20" w:before="20"/>
              <w:jc w:val="right"/>
            </w:pPr>
            <w:r/>
            <w:r>
              <w:rPr>
                <w:rFonts w:ascii="Open Sans" w:hAnsi="Open Sans" w:eastAsia="Open Sans"/>
                <w:b w:val="0"/>
                <w:i w:val="0"/>
                <w:color w:val="222222"/>
                <w:sz w:val="17"/>
              </w:rPr>
              <w:t>638,3</w:t>
            </w:r>
          </w:p>
        </w:tc>
        <w:tc>
          <w:tcPr>
            <w:tcW w:type="dxa" w:w="1474"/>
          </w:tcPr>
          <w:p>
            <w:pPr>
              <w:spacing w:after="20" w:before="20"/>
              <w:jc w:val="right"/>
            </w:pPr>
            <w:r/>
            <w:r>
              <w:rPr>
                <w:rFonts w:ascii="Open Sans" w:hAnsi="Open Sans" w:eastAsia="Open Sans"/>
                <w:b w:val="0"/>
                <w:i w:val="0"/>
                <w:color w:val="222222"/>
                <w:sz w:val="17"/>
              </w:rPr>
              <w:t>685,3</w:t>
            </w:r>
          </w:p>
        </w:tc>
        <w:tc>
          <w:tcPr>
            <w:tcW w:type="dxa" w:w="1247"/>
          </w:tcPr>
          <w:p>
            <w:pPr>
              <w:spacing w:after="20" w:before="20"/>
              <w:jc w:val="right"/>
            </w:pPr>
            <w:r/>
            <w:r>
              <w:rPr>
                <w:rFonts w:ascii="Open Sans" w:hAnsi="Open Sans" w:eastAsia="Open Sans"/>
                <w:b w:val="0"/>
                <w:i w:val="0"/>
                <w:color w:val="222222"/>
                <w:sz w:val="17"/>
              </w:rPr>
              <w:t>89,5</w:t>
            </w:r>
          </w:p>
        </w:tc>
      </w:tr>
    </w:tbl>
    <w:p>
      <w:pPr>
        <w:spacing w:after="60" w:before="0" w:line="264" w:lineRule="auto"/>
      </w:pPr>
    </w:p>
    <w:p>
      <w:pPr>
        <w:spacing w:after="60" w:line="259" w:lineRule="auto"/>
        <w:ind w:left="312"/>
      </w:pPr>
      <w:r>
        <w:rPr>
          <w:rFonts w:ascii="Open Sans" w:hAnsi="Open Sans" w:eastAsia="Open Sans"/>
          <w:b/>
          <w:i w:val="0"/>
          <w:color w:val="007A33"/>
          <w:sz w:val="20"/>
        </w:rPr>
        <w:t xml:space="preserve">▪  </w:t>
      </w:r>
      <w:r>
        <w:rPr>
          <w:rFonts w:ascii="Open Sans" w:hAnsi="Open Sans" w:eastAsia="Open Sans"/>
          <w:b/>
          <w:i w:val="0"/>
          <w:color w:val="1B365D"/>
          <w:sz w:val="19"/>
        </w:rPr>
        <w:t xml:space="preserve">El esfuerzo llega tarde: </w:t>
      </w:r>
      <w:r>
        <w:rPr>
          <w:rFonts w:ascii="Open Sans" w:hAnsi="Open Sans" w:eastAsia="Open Sans"/>
          <w:b w:val="0"/>
          <w:i w:val="0"/>
          <w:color w:val="222222"/>
          <w:sz w:val="19"/>
        </w:rPr>
        <w:t>la mediana entre el contacto y el pago es de 7 días, y el 30,0% paga dentro de los tres primeros. Pero el 33,5% de la gestión del mes se ejecuta en la última semana: con una mediana de 7 días, buena parte de ese esfuerzo cobra en septiembre y no alcanza a contarse en el cierre de agosto. Adelantar carga a la primera quincena no cuesta un peso más y mejora el resultado del mes.</w:t>
      </w:r>
    </w:p>
    <w:p>
      <w:pPr>
        <w:spacing w:after="60" w:line="259" w:lineRule="auto"/>
        <w:ind w:left="312"/>
      </w:pPr>
      <w:r>
        <w:rPr>
          <w:rFonts w:ascii="Open Sans" w:hAnsi="Open Sans" w:eastAsia="Open Sans"/>
          <w:b/>
          <w:i w:val="0"/>
          <w:color w:val="007A33"/>
          <w:sz w:val="20"/>
        </w:rPr>
        <w:t xml:space="preserve">▪  </w:t>
      </w:r>
      <w:r>
        <w:rPr>
          <w:rFonts w:ascii="Open Sans" w:hAnsi="Open Sans" w:eastAsia="Open Sans"/>
          <w:b/>
          <w:i w:val="0"/>
          <w:color w:val="1B365D"/>
          <w:sz w:val="19"/>
        </w:rPr>
        <w:t xml:space="preserve">Ojo con la tipificación espejo: </w:t>
      </w:r>
      <w:r>
        <w:rPr>
          <w:rFonts w:ascii="Open Sans" w:hAnsi="Open Sans" w:eastAsia="Open Sans"/>
          <w:b w:val="0"/>
          <w:i w:val="0"/>
          <w:color w:val="222222"/>
          <w:sz w:val="19"/>
        </w:rPr>
        <w:t>«ya realizó el pago» convierte al 61,6%, pero eso no mide gestión: el asesor aplica esa tipificación porque el pago ya ocurrió. La tipificación que sí anticipa resultado es «genera acuerdo de pago verbal», con 19,7% de conversión contra 13,6% del seguimiento simple —una vez y media más—. Ese es el comportamiento que conviene reforzar en el equipo.</w:t>
      </w:r>
    </w:p>
    <w:p>
      <w:pPr>
        <w:spacing w:after="60" w:line="259" w:lineRule="auto"/>
        <w:ind w:left="312"/>
      </w:pPr>
      <w:r>
        <w:rPr>
          <w:rFonts w:ascii="Open Sans" w:hAnsi="Open Sans" w:eastAsia="Open Sans"/>
          <w:b/>
          <w:i w:val="0"/>
          <w:color w:val="007A33"/>
          <w:sz w:val="20"/>
        </w:rPr>
        <w:t xml:space="preserve">▪  </w:t>
      </w:r>
      <w:r>
        <w:rPr>
          <w:rFonts w:ascii="Open Sans" w:hAnsi="Open Sans" w:eastAsia="Open Sans"/>
          <w:b/>
          <w:i w:val="0"/>
          <w:color w:val="1B365D"/>
          <w:sz w:val="19"/>
        </w:rPr>
        <w:t xml:space="preserve">Por qué medimos contra la primera gestión: </w:t>
      </w:r>
      <w:r>
        <w:rPr>
          <w:rFonts w:ascii="Open Sans" w:hAnsi="Open Sans" w:eastAsia="Open Sans"/>
          <w:b w:val="0"/>
          <w:i w:val="0"/>
          <w:color w:val="222222"/>
          <w:sz w:val="19"/>
        </w:rPr>
        <w:t>el 22,3% de los pagos ocurre antes del último contacto registrado: el asesor vuelve a tipificar después de cobrar, para dejar constancia. Es correcto como práctica, pero obliga a medir la atribución contra la PRIMERA gestión y no contra la última, que es exactamente el criterio que adoptamos.</w:t>
      </w:r>
    </w:p>
    <w:p>
      <w:r>
        <w:br w:type="page"/>
      </w:r>
    </w:p>
    <w:p>
      <w:pPr>
        <w:spacing w:before="140" w:after="60"/>
      </w:pPr>
      <w:r>
        <w:rPr>
          <w:rFonts w:ascii="Montserrat" w:hAnsi="Montserrat" w:eastAsia="Montserrat"/>
          <w:b/>
          <w:i w:val="0"/>
          <w:color w:val="0C2340"/>
          <w:sz w:val="25"/>
        </w:rPr>
        <w:t>8.  Plan de acción — septiembre 2026</w:t>
      </w:r>
    </w:p>
    <w:p>
      <w:pPr>
        <w:spacing w:after="80" w:before="0" w:line="264" w:lineRule="auto"/>
      </w:pPr>
      <w:r>
        <w:rPr>
          <w:rFonts w:ascii="Open Sans" w:hAnsi="Open Sans" w:eastAsia="Open Sans"/>
          <w:b w:val="0"/>
          <w:i w:val="0"/>
          <w:color w:val="222222"/>
          <w:sz w:val="20"/>
        </w:rPr>
        <w:t>Seis frentes, ordenados por impacto sobre el saldo y por qué tan rápido se pueden ejecutar. Los cuatro primeros no dependen de terceros.</w:t>
      </w:r>
    </w:p>
    <w:tbl>
      <w:tblPr>
        <w:tblStyle w:val="TableGrid"/>
        <w:tblW w:type="auto" w:w="0"/>
        <w:jc w:val="center"/>
        <w:tblLook w:firstColumn="1" w:firstRow="1" w:lastColumn="0" w:lastRow="0" w:noHBand="0" w:noVBand="1" w:val="04A0"/>
      </w:tblPr>
      <w:tblGrid>
        <w:gridCol w:w="2465"/>
        <w:gridCol w:w="2465"/>
        <w:gridCol w:w="2465"/>
        <w:gridCol w:w="2465"/>
      </w:tblGrid>
      <w:tr>
        <w:tc>
          <w:tcPr>
            <w:tcW w:type="dxa" w:w="680"/>
            <w:shd w:val="clear" w:fill="0C2340"/>
          </w:tcPr>
          <w:p>
            <w:pPr>
              <w:spacing w:after="20" w:before="20"/>
            </w:pPr>
            <w:r/>
            <w:r>
              <w:rPr>
                <w:rFonts w:ascii="Montserrat" w:hAnsi="Montserrat" w:eastAsia="Montserrat"/>
                <w:b/>
                <w:i w:val="0"/>
                <w:color w:val="FFFFFF"/>
                <w:sz w:val="17"/>
              </w:rPr>
              <w:t>#</w:t>
            </w:r>
          </w:p>
        </w:tc>
        <w:tc>
          <w:tcPr>
            <w:tcW w:type="dxa" w:w="3628"/>
            <w:shd w:val="clear" w:fill="0C2340"/>
          </w:tcPr>
          <w:p>
            <w:pPr>
              <w:spacing w:after="20" w:before="20"/>
            </w:pPr>
            <w:r/>
            <w:r>
              <w:rPr>
                <w:rFonts w:ascii="Montserrat" w:hAnsi="Montserrat" w:eastAsia="Montserrat"/>
                <w:b/>
                <w:i w:val="0"/>
                <w:color w:val="FFFFFF"/>
                <w:sz w:val="17"/>
              </w:rPr>
              <w:t>Acción</w:t>
            </w:r>
          </w:p>
        </w:tc>
        <w:tc>
          <w:tcPr>
            <w:tcW w:type="dxa" w:w="2948"/>
            <w:shd w:val="clear" w:fill="0C2340"/>
          </w:tcPr>
          <w:p>
            <w:pPr>
              <w:spacing w:after="20" w:before="20"/>
            </w:pPr>
            <w:r/>
            <w:r>
              <w:rPr>
                <w:rFonts w:ascii="Montserrat" w:hAnsi="Montserrat" w:eastAsia="Montserrat"/>
                <w:b/>
                <w:i w:val="0"/>
                <w:color w:val="FFFFFF"/>
                <w:sz w:val="17"/>
              </w:rPr>
              <w:t>Meta de septiembre</w:t>
            </w:r>
          </w:p>
        </w:tc>
        <w:tc>
          <w:tcPr>
            <w:tcW w:type="dxa" w:w="2041"/>
            <w:shd w:val="clear" w:fill="0C2340"/>
          </w:tcPr>
          <w:p>
            <w:pPr>
              <w:spacing w:after="20" w:before="20"/>
            </w:pPr>
            <w:r/>
            <w:r>
              <w:rPr>
                <w:rFonts w:ascii="Montserrat" w:hAnsi="Montserrat" w:eastAsia="Montserrat"/>
                <w:b/>
                <w:i w:val="0"/>
                <w:color w:val="FFFFFF"/>
                <w:sz w:val="17"/>
              </w:rPr>
              <w:t>Responsable</w:t>
            </w:r>
          </w:p>
        </w:tc>
      </w:tr>
      <w:tr>
        <w:tc>
          <w:tcPr>
            <w:tcW w:type="dxa" w:w="680"/>
          </w:tcPr>
          <w:p>
            <w:pPr>
              <w:spacing w:after="20" w:before="20"/>
            </w:pPr>
            <w:r/>
            <w:r>
              <w:rPr>
                <w:rFonts w:ascii="Open Sans" w:hAnsi="Open Sans" w:eastAsia="Open Sans"/>
                <w:b w:val="0"/>
                <w:i w:val="0"/>
                <w:color w:val="222222"/>
                <w:sz w:val="17"/>
              </w:rPr>
              <w:t>1</w:t>
            </w:r>
          </w:p>
        </w:tc>
        <w:tc>
          <w:tcPr>
            <w:tcW w:type="dxa" w:w="3628"/>
          </w:tcPr>
          <w:p>
            <w:pPr>
              <w:spacing w:after="20" w:before="20"/>
            </w:pPr>
            <w:r/>
            <w:r>
              <w:rPr>
                <w:rFonts w:ascii="Open Sans" w:hAnsi="Open Sans" w:eastAsia="Open Sans"/>
                <w:b w:val="0"/>
                <w:i w:val="0"/>
                <w:color w:val="222222"/>
                <w:sz w:val="17"/>
              </w:rPr>
              <w:t>Asignar la cartera de la meta sin responsable</w:t>
            </w:r>
          </w:p>
        </w:tc>
        <w:tc>
          <w:tcPr>
            <w:tcW w:type="dxa" w:w="2948"/>
          </w:tcPr>
          <w:p>
            <w:pPr>
              <w:spacing w:after="20" w:before="20"/>
            </w:pPr>
            <w:r/>
            <w:r>
              <w:rPr>
                <w:rFonts w:ascii="Open Sans" w:hAnsi="Open Sans" w:eastAsia="Open Sans"/>
                <w:b w:val="0"/>
                <w:i w:val="0"/>
                <w:color w:val="222222"/>
                <w:sz w:val="17"/>
              </w:rPr>
              <w:t>4.034 estudiantes, $1.302,9 MM</w:t>
            </w:r>
          </w:p>
        </w:tc>
        <w:tc>
          <w:tcPr>
            <w:tcW w:type="dxa" w:w="2041"/>
          </w:tcPr>
          <w:p>
            <w:pPr>
              <w:spacing w:after="20" w:before="20"/>
            </w:pPr>
            <w:r/>
            <w:r>
              <w:rPr>
                <w:rFonts w:ascii="Open Sans" w:hAnsi="Open Sans" w:eastAsia="Open Sans"/>
                <w:b w:val="0"/>
                <w:i w:val="0"/>
                <w:color w:val="222222"/>
                <w:sz w:val="17"/>
              </w:rPr>
              <w:t>Coordinación</w:t>
            </w:r>
          </w:p>
        </w:tc>
      </w:tr>
      <w:tr>
        <w:tc>
          <w:tcPr>
            <w:tcW w:type="dxa" w:w="680"/>
            <w:shd w:val="clear" w:fill="F8F9FA"/>
          </w:tcPr>
          <w:p>
            <w:pPr>
              <w:spacing w:after="20" w:before="20"/>
            </w:pPr>
            <w:r/>
            <w:r>
              <w:rPr>
                <w:rFonts w:ascii="Open Sans" w:hAnsi="Open Sans" w:eastAsia="Open Sans"/>
                <w:b w:val="0"/>
                <w:i w:val="0"/>
                <w:color w:val="222222"/>
                <w:sz w:val="17"/>
              </w:rPr>
              <w:t>2</w:t>
            </w:r>
          </w:p>
        </w:tc>
        <w:tc>
          <w:tcPr>
            <w:tcW w:type="dxa" w:w="3628"/>
            <w:shd w:val="clear" w:fill="F8F9FA"/>
          </w:tcPr>
          <w:p>
            <w:pPr>
              <w:spacing w:after="20" w:before="20"/>
            </w:pPr>
            <w:r/>
            <w:r>
              <w:rPr>
                <w:rFonts w:ascii="Open Sans" w:hAnsi="Open Sans" w:eastAsia="Open Sans"/>
                <w:b w:val="0"/>
                <w:i w:val="0"/>
                <w:color w:val="222222"/>
                <w:sz w:val="17"/>
              </w:rPr>
              <w:t>Adelantar la carga de gestión a la primera quincena</w:t>
            </w:r>
          </w:p>
        </w:tc>
        <w:tc>
          <w:tcPr>
            <w:tcW w:type="dxa" w:w="2948"/>
            <w:shd w:val="clear" w:fill="F8F9FA"/>
          </w:tcPr>
          <w:p>
            <w:pPr>
              <w:spacing w:after="20" w:before="20"/>
            </w:pPr>
            <w:r/>
            <w:r>
              <w:rPr>
                <w:rFonts w:ascii="Open Sans" w:hAnsi="Open Sans" w:eastAsia="Open Sans"/>
                <w:b w:val="0"/>
                <w:i w:val="0"/>
                <w:color w:val="222222"/>
                <w:sz w:val="17"/>
              </w:rPr>
              <w:t>50% del esfuerzo antes del día 15</w:t>
            </w:r>
          </w:p>
        </w:tc>
        <w:tc>
          <w:tcPr>
            <w:tcW w:type="dxa" w:w="2041"/>
            <w:shd w:val="clear" w:fill="F8F9FA"/>
          </w:tcPr>
          <w:p>
            <w:pPr>
              <w:spacing w:after="20" w:before="20"/>
            </w:pPr>
            <w:r/>
            <w:r>
              <w:rPr>
                <w:rFonts w:ascii="Open Sans" w:hAnsi="Open Sans" w:eastAsia="Open Sans"/>
                <w:b w:val="0"/>
                <w:i w:val="0"/>
                <w:color w:val="222222"/>
                <w:sz w:val="17"/>
              </w:rPr>
              <w:t>Coordinación</w:t>
            </w:r>
          </w:p>
        </w:tc>
      </w:tr>
      <w:tr>
        <w:tc>
          <w:tcPr>
            <w:tcW w:type="dxa" w:w="680"/>
          </w:tcPr>
          <w:p>
            <w:pPr>
              <w:spacing w:after="20" w:before="20"/>
            </w:pPr>
            <w:r/>
            <w:r>
              <w:rPr>
                <w:rFonts w:ascii="Open Sans" w:hAnsi="Open Sans" w:eastAsia="Open Sans"/>
                <w:b w:val="0"/>
                <w:i w:val="0"/>
                <w:color w:val="222222"/>
                <w:sz w:val="17"/>
              </w:rPr>
              <w:t>3</w:t>
            </w:r>
          </w:p>
        </w:tc>
        <w:tc>
          <w:tcPr>
            <w:tcW w:type="dxa" w:w="3628"/>
          </w:tcPr>
          <w:p>
            <w:pPr>
              <w:spacing w:after="20" w:before="20"/>
            </w:pPr>
            <w:r/>
            <w:r>
              <w:rPr>
                <w:rFonts w:ascii="Open Sans" w:hAnsi="Open Sans" w:eastAsia="Open Sans"/>
                <w:b w:val="0"/>
                <w:i w:val="0"/>
                <w:color w:val="222222"/>
                <w:sz w:val="17"/>
              </w:rPr>
              <w:t>Depurar dato de contacto de los «no contesta»</w:t>
            </w:r>
          </w:p>
        </w:tc>
        <w:tc>
          <w:tcPr>
            <w:tcW w:type="dxa" w:w="2948"/>
          </w:tcPr>
          <w:p>
            <w:pPr>
              <w:spacing w:after="20" w:before="20"/>
            </w:pPr>
            <w:r/>
            <w:r>
              <w:rPr>
                <w:rFonts w:ascii="Open Sans" w:hAnsi="Open Sans" w:eastAsia="Open Sans"/>
                <w:b w:val="0"/>
                <w:i w:val="0"/>
                <w:color w:val="222222"/>
                <w:sz w:val="17"/>
              </w:rPr>
              <w:t>Bajar del 26,0% al 20%</w:t>
            </w:r>
          </w:p>
        </w:tc>
        <w:tc>
          <w:tcPr>
            <w:tcW w:type="dxa" w:w="2041"/>
          </w:tcPr>
          <w:p>
            <w:pPr>
              <w:spacing w:after="20" w:before="20"/>
            </w:pPr>
            <w:r/>
            <w:r>
              <w:rPr>
                <w:rFonts w:ascii="Open Sans" w:hAnsi="Open Sans" w:eastAsia="Open Sans"/>
                <w:b w:val="0"/>
                <w:i w:val="0"/>
                <w:color w:val="222222"/>
                <w:sz w:val="17"/>
              </w:rPr>
              <w:t>Coordinación + Analítica</w:t>
            </w:r>
          </w:p>
        </w:tc>
      </w:tr>
      <w:tr>
        <w:tc>
          <w:tcPr>
            <w:tcW w:type="dxa" w:w="680"/>
            <w:shd w:val="clear" w:fill="F8F9FA"/>
          </w:tcPr>
          <w:p>
            <w:pPr>
              <w:spacing w:after="20" w:before="20"/>
            </w:pPr>
            <w:r/>
            <w:r>
              <w:rPr>
                <w:rFonts w:ascii="Open Sans" w:hAnsi="Open Sans" w:eastAsia="Open Sans"/>
                <w:b w:val="0"/>
                <w:i w:val="0"/>
                <w:color w:val="222222"/>
                <w:sz w:val="17"/>
              </w:rPr>
              <w:t>4</w:t>
            </w:r>
          </w:p>
        </w:tc>
        <w:tc>
          <w:tcPr>
            <w:tcW w:type="dxa" w:w="3628"/>
            <w:shd w:val="clear" w:fill="F8F9FA"/>
          </w:tcPr>
          <w:p>
            <w:pPr>
              <w:spacing w:after="20" w:before="20"/>
            </w:pPr>
            <w:r/>
            <w:r>
              <w:rPr>
                <w:rFonts w:ascii="Open Sans" w:hAnsi="Open Sans" w:eastAsia="Open Sans"/>
                <w:b w:val="0"/>
                <w:i w:val="0"/>
                <w:color w:val="222222"/>
                <w:sz w:val="17"/>
              </w:rPr>
              <w:t>Reforzar el cierre de acuerdo de pago verbal</w:t>
            </w:r>
          </w:p>
        </w:tc>
        <w:tc>
          <w:tcPr>
            <w:tcW w:type="dxa" w:w="2948"/>
            <w:shd w:val="clear" w:fill="F8F9FA"/>
          </w:tcPr>
          <w:p>
            <w:pPr>
              <w:spacing w:after="20" w:before="20"/>
            </w:pPr>
            <w:r/>
            <w:r>
              <w:rPr>
                <w:rFonts w:ascii="Open Sans" w:hAnsi="Open Sans" w:eastAsia="Open Sans"/>
                <w:b w:val="0"/>
                <w:i w:val="0"/>
                <w:color w:val="222222"/>
                <w:sz w:val="17"/>
              </w:rPr>
              <w:t>Subir del 19,7% al 25% de conversión</w:t>
            </w:r>
          </w:p>
        </w:tc>
        <w:tc>
          <w:tcPr>
            <w:tcW w:type="dxa" w:w="2041"/>
            <w:shd w:val="clear" w:fill="F8F9FA"/>
          </w:tcPr>
          <w:p>
            <w:pPr>
              <w:spacing w:after="20" w:before="20"/>
            </w:pPr>
            <w:r/>
            <w:r>
              <w:rPr>
                <w:rFonts w:ascii="Open Sans" w:hAnsi="Open Sans" w:eastAsia="Open Sans"/>
                <w:b w:val="0"/>
                <w:i w:val="0"/>
                <w:color w:val="222222"/>
                <w:sz w:val="17"/>
              </w:rPr>
              <w:t>Coordinación</w:t>
            </w:r>
          </w:p>
        </w:tc>
      </w:tr>
      <w:tr>
        <w:tc>
          <w:tcPr>
            <w:tcW w:type="dxa" w:w="680"/>
          </w:tcPr>
          <w:p>
            <w:pPr>
              <w:spacing w:after="20" w:before="20"/>
            </w:pPr>
            <w:r/>
            <w:r>
              <w:rPr>
                <w:rFonts w:ascii="Open Sans" w:hAnsi="Open Sans" w:eastAsia="Open Sans"/>
                <w:b w:val="0"/>
                <w:i w:val="0"/>
                <w:color w:val="222222"/>
                <w:sz w:val="17"/>
              </w:rPr>
              <w:t>5</w:t>
            </w:r>
          </w:p>
        </w:tc>
        <w:tc>
          <w:tcPr>
            <w:tcW w:type="dxa" w:w="3628"/>
          </w:tcPr>
          <w:p>
            <w:pPr>
              <w:spacing w:after="20" w:before="20"/>
            </w:pPr>
            <w:r/>
            <w:r>
              <w:rPr>
                <w:rFonts w:ascii="Open Sans" w:hAnsi="Open Sans" w:eastAsia="Open Sans"/>
                <w:b w:val="0"/>
                <w:i w:val="0"/>
                <w:color w:val="222222"/>
                <w:sz w:val="17"/>
              </w:rPr>
              <w:t>Estrategia distinta para «sin registro de clase»</w:t>
            </w:r>
          </w:p>
        </w:tc>
        <w:tc>
          <w:tcPr>
            <w:tcW w:type="dxa" w:w="2948"/>
          </w:tcPr>
          <w:p>
            <w:pPr>
              <w:spacing w:after="20" w:before="20"/>
            </w:pPr>
            <w:r/>
            <w:r>
              <w:rPr>
                <w:rFonts w:ascii="Open Sans" w:hAnsi="Open Sans" w:eastAsia="Open Sans"/>
                <w:b w:val="0"/>
                <w:i w:val="0"/>
                <w:color w:val="222222"/>
                <w:sz w:val="17"/>
              </w:rPr>
              <w:t>Subir del 3,2% al 8% de cumplimiento</w:t>
            </w:r>
          </w:p>
        </w:tc>
        <w:tc>
          <w:tcPr>
            <w:tcW w:type="dxa" w:w="2041"/>
          </w:tcPr>
          <w:p>
            <w:pPr>
              <w:spacing w:after="20" w:before="20"/>
            </w:pPr>
            <w:r/>
            <w:r>
              <w:rPr>
                <w:rFonts w:ascii="Open Sans" w:hAnsi="Open Sans" w:eastAsia="Open Sans"/>
                <w:b w:val="0"/>
                <w:i w:val="0"/>
                <w:color w:val="222222"/>
                <w:sz w:val="17"/>
              </w:rPr>
              <w:t>Coordinación + Bienestar</w:t>
            </w:r>
          </w:p>
        </w:tc>
      </w:tr>
      <w:tr>
        <w:tc>
          <w:tcPr>
            <w:tcW w:type="dxa" w:w="680"/>
            <w:shd w:val="clear" w:fill="F8F9FA"/>
          </w:tcPr>
          <w:p>
            <w:pPr>
              <w:spacing w:after="20" w:before="20"/>
            </w:pPr>
            <w:r/>
            <w:r>
              <w:rPr>
                <w:rFonts w:ascii="Open Sans" w:hAnsi="Open Sans" w:eastAsia="Open Sans"/>
                <w:b w:val="0"/>
                <w:i w:val="0"/>
                <w:color w:val="222222"/>
                <w:sz w:val="17"/>
              </w:rPr>
              <w:t>6</w:t>
            </w:r>
          </w:p>
        </w:tc>
        <w:tc>
          <w:tcPr>
            <w:tcW w:type="dxa" w:w="3628"/>
            <w:shd w:val="clear" w:fill="F8F9FA"/>
          </w:tcPr>
          <w:p>
            <w:pPr>
              <w:spacing w:after="20" w:before="20"/>
            </w:pPr>
            <w:r/>
            <w:r>
              <w:rPr>
                <w:rFonts w:ascii="Open Sans" w:hAnsi="Open Sans" w:eastAsia="Open Sans"/>
                <w:b w:val="0"/>
                <w:i w:val="0"/>
                <w:color w:val="222222"/>
                <w:sz w:val="17"/>
              </w:rPr>
              <w:t>Nivelar la carga entre los 14 asesores activos</w:t>
            </w:r>
          </w:p>
        </w:tc>
        <w:tc>
          <w:tcPr>
            <w:tcW w:type="dxa" w:w="2948"/>
            <w:shd w:val="clear" w:fill="F8F9FA"/>
          </w:tcPr>
          <w:p>
            <w:pPr>
              <w:spacing w:after="20" w:before="20"/>
            </w:pPr>
            <w:r/>
            <w:r>
              <w:rPr>
                <w:rFonts w:ascii="Open Sans" w:hAnsi="Open Sans" w:eastAsia="Open Sans"/>
                <w:b w:val="0"/>
                <w:i w:val="0"/>
                <w:color w:val="222222"/>
                <w:sz w:val="17"/>
              </w:rPr>
              <w:t>Rango máximo de 2:1 (hoy 3,4:1)</w:t>
            </w:r>
          </w:p>
        </w:tc>
        <w:tc>
          <w:tcPr>
            <w:tcW w:type="dxa" w:w="2041"/>
            <w:shd w:val="clear" w:fill="F8F9FA"/>
          </w:tcPr>
          <w:p>
            <w:pPr>
              <w:spacing w:after="20" w:before="20"/>
            </w:pPr>
            <w:r/>
            <w:r>
              <w:rPr>
                <w:rFonts w:ascii="Open Sans" w:hAnsi="Open Sans" w:eastAsia="Open Sans"/>
                <w:b w:val="0"/>
                <w:i w:val="0"/>
                <w:color w:val="222222"/>
                <w:sz w:val="17"/>
              </w:rPr>
              <w:t>Coordinación</w:t>
            </w:r>
          </w:p>
        </w:tc>
      </w:tr>
    </w:tbl>
    <w:p>
      <w:pPr>
        <w:spacing w:after="80" w:before="0" w:line="264" w:lineRule="auto"/>
      </w:pPr>
    </w:p>
    <w:p>
      <w:pPr>
        <w:spacing w:after="60" w:line="259" w:lineRule="auto"/>
        <w:ind w:left="312"/>
      </w:pPr>
      <w:r>
        <w:rPr>
          <w:rFonts w:ascii="Open Sans" w:hAnsi="Open Sans" w:eastAsia="Open Sans"/>
          <w:b/>
          <w:i w:val="0"/>
          <w:color w:val="007A33"/>
          <w:sz w:val="20"/>
        </w:rPr>
        <w:t xml:space="preserve">▪  </w:t>
      </w:r>
      <w:r>
        <w:rPr>
          <w:rFonts w:ascii="Open Sans" w:hAnsi="Open Sans" w:eastAsia="Open Sans"/>
          <w:b/>
          <w:i w:val="0"/>
          <w:color w:val="1B365D"/>
          <w:sz w:val="19"/>
        </w:rPr>
        <w:t xml:space="preserve">1. Cartera sin responsable: </w:t>
      </w:r>
      <w:r>
        <w:rPr>
          <w:rFonts w:ascii="Open Sans" w:hAnsi="Open Sans" w:eastAsia="Open Sans"/>
          <w:b w:val="0"/>
          <w:i w:val="0"/>
          <w:color w:val="222222"/>
          <w:sz w:val="19"/>
        </w:rPr>
        <w:t>82.208 registros de 28.014 personas están marcados «reasignar en CRM» o «sin asignar», y ninguno registra una sola gestión humana. Cruzados contra la meta vigente son 4.034 estudiantes con $1.302,9 millones. Mientras no tengan dueño no entran en ningún indicador ni en ninguna llamada. Es la acción de mayor impacto y la más rápida: es una decisión de asignación, no un desarrollo.</w:t>
      </w:r>
    </w:p>
    <w:p>
      <w:pPr>
        <w:spacing w:after="60" w:line="259" w:lineRule="auto"/>
        <w:ind w:left="312"/>
      </w:pPr>
      <w:r>
        <w:rPr>
          <w:rFonts w:ascii="Open Sans" w:hAnsi="Open Sans" w:eastAsia="Open Sans"/>
          <w:b/>
          <w:i w:val="0"/>
          <w:color w:val="007A33"/>
          <w:sz w:val="20"/>
        </w:rPr>
        <w:t xml:space="preserve">▪  </w:t>
      </w:r>
      <w:r>
        <w:rPr>
          <w:rFonts w:ascii="Open Sans" w:hAnsi="Open Sans" w:eastAsia="Open Sans"/>
          <w:b/>
          <w:i w:val="0"/>
          <w:color w:val="1B365D"/>
          <w:sz w:val="19"/>
        </w:rPr>
        <w:t xml:space="preserve">2. Adelantar la carga: </w:t>
      </w:r>
      <w:r>
        <w:rPr>
          <w:rFonts w:ascii="Open Sans" w:hAnsi="Open Sans" w:eastAsia="Open Sans"/>
          <w:b w:val="0"/>
          <w:i w:val="0"/>
          <w:color w:val="222222"/>
          <w:sz w:val="19"/>
        </w:rPr>
        <w:t>un tercio de la gestión se ejecuta en la última semana y la mediana de cobro es de 7 días, así que ese esfuerzo cobra en septiembre. Es la acción de mejor relación resultado/costo: no exige más gestiones, sino las mismas antes.</w:t>
      </w:r>
    </w:p>
    <w:p>
      <w:pPr>
        <w:spacing w:after="60" w:line="259" w:lineRule="auto"/>
        <w:ind w:left="312"/>
      </w:pPr>
      <w:r>
        <w:rPr>
          <w:rFonts w:ascii="Open Sans" w:hAnsi="Open Sans" w:eastAsia="Open Sans"/>
          <w:b/>
          <w:i w:val="0"/>
          <w:color w:val="007A33"/>
          <w:sz w:val="20"/>
        </w:rPr>
        <w:t xml:space="preserve">▪  </w:t>
      </w:r>
      <w:r>
        <w:rPr>
          <w:rFonts w:ascii="Open Sans" w:hAnsi="Open Sans" w:eastAsia="Open Sans"/>
          <w:b/>
          <w:i w:val="0"/>
          <w:color w:val="1B365D"/>
          <w:sz w:val="19"/>
        </w:rPr>
        <w:t xml:space="preserve">3 y 4. Calidad del contacto: </w:t>
      </w:r>
      <w:r>
        <w:rPr>
          <w:rFonts w:ascii="Open Sans" w:hAnsi="Open Sans" w:eastAsia="Open Sans"/>
          <w:b w:val="0"/>
          <w:i w:val="0"/>
          <w:color w:val="222222"/>
          <w:sz w:val="19"/>
        </w:rPr>
        <w:t>el acuerdo verbal convierte al 19,7% contra 13,6% del seguimiento simple. No pedimos más llamadas sino que más terminen en un compromiso concreto de fecha y monto —y sobre población contactable: hoy el 26,0% de la gestión muere en «no contesta».</w:t>
      </w:r>
    </w:p>
    <w:p>
      <w:pPr>
        <w:spacing w:before="140" w:after="60"/>
      </w:pPr>
      <w:r>
        <w:rPr>
          <w:rFonts w:ascii="Montserrat" w:hAnsi="Montserrat" w:eastAsia="Montserrat"/>
          <w:b/>
          <w:i w:val="0"/>
          <w:color w:val="0C2340"/>
          <w:sz w:val="25"/>
        </w:rPr>
        <w:t>9.  Observaciones de la Analítica</w:t>
      </w:r>
    </w:p>
    <w:p>
      <w:pPr>
        <w:spacing w:after="60" w:line="259" w:lineRule="auto"/>
        <w:ind w:left="312"/>
      </w:pPr>
      <w:r>
        <w:rPr>
          <w:rFonts w:ascii="Open Sans" w:hAnsi="Open Sans" w:eastAsia="Open Sans"/>
          <w:b/>
          <w:i w:val="0"/>
          <w:color w:val="007A33"/>
          <w:sz w:val="20"/>
        </w:rPr>
        <w:t xml:space="preserve">▪  </w:t>
      </w:r>
      <w:r>
        <w:rPr>
          <w:rFonts w:ascii="Open Sans" w:hAnsi="Open Sans" w:eastAsia="Open Sans"/>
          <w:b/>
          <w:i w:val="0"/>
          <w:color w:val="1B365D"/>
          <w:sz w:val="19"/>
        </w:rPr>
        <w:t xml:space="preserve">Base de medición: </w:t>
      </w:r>
      <w:r>
        <w:rPr>
          <w:rFonts w:ascii="Open Sans" w:hAnsi="Open Sans" w:eastAsia="Open Sans"/>
          <w:b w:val="0"/>
          <w:i w:val="0"/>
          <w:color w:val="222222"/>
          <w:sz w:val="19"/>
        </w:rPr>
        <w:t>las cifras de gestión de esta versión salen del histórico de tipificación, que sí conserva cada movimiento. La versión anterior las tomaba de la foto diaria del CRM, que se reconstruye en cada corrida. El cambio hace las cifras reproducibles mes a mes.</w:t>
      </w:r>
    </w:p>
    <w:p>
      <w:pPr>
        <w:spacing w:after="60" w:line="259" w:lineRule="auto"/>
        <w:ind w:left="312"/>
      </w:pPr>
      <w:r>
        <w:rPr>
          <w:rFonts w:ascii="Open Sans" w:hAnsi="Open Sans" w:eastAsia="Open Sans"/>
          <w:b/>
          <w:i w:val="0"/>
          <w:color w:val="007A33"/>
          <w:sz w:val="20"/>
        </w:rPr>
        <w:t xml:space="preserve">▪  </w:t>
      </w:r>
      <w:r>
        <w:rPr>
          <w:rFonts w:ascii="Open Sans" w:hAnsi="Open Sans" w:eastAsia="Open Sans"/>
          <w:b/>
          <w:i w:val="0"/>
          <w:color w:val="1B365D"/>
          <w:sz w:val="19"/>
        </w:rPr>
        <w:t xml:space="preserve">Calidad del dato: </w:t>
      </w:r>
      <w:r>
        <w:rPr>
          <w:rFonts w:ascii="Open Sans" w:hAnsi="Open Sans" w:eastAsia="Open Sans"/>
          <w:b w:val="0"/>
          <w:i w:val="0"/>
          <w:color w:val="222222"/>
          <w:sz w:val="19"/>
        </w:rPr>
        <w:t>el robot CUN DIGITAL generó 43.556 tipificaciones en agosto, casi el doble que todo el equipo humano. No es un problema en sí, pero cualquier indicador que no lo separe explícitamente queda distorsionado. Ya está separado en el tablero. Siguen sin diligenciar medio de pago, tipo de cartera y regional en más del 89% de los registros, lo que impide analizar el recaudo por canal.</w:t>
      </w:r>
    </w:p>
    <w:p>
      <w:pPr>
        <w:spacing w:before="120" w:after="0"/>
        <w:ind w:left="85"/>
        <w:pBdr>
          <w:left w:val="single" w:sz="24" w:space="6" w:color="00859B"/>
        </w:pBdr>
        <w:shd w:val="clear" w:fill="F0F4F8"/>
      </w:pPr>
      <w:r>
        <w:rPr>
          <w:rFonts w:ascii="Montserrat" w:hAnsi="Montserrat" w:eastAsia="Montserrat"/>
          <w:b/>
          <w:i w:val="0"/>
          <w:color w:val="0C2340"/>
          <w:sz w:val="21"/>
        </w:rPr>
        <w:t>Recomendación</w:t>
      </w:r>
    </w:p>
    <w:p>
      <w:pPr>
        <w:spacing w:before="0" w:after="20" w:line="259" w:lineRule="auto"/>
        <w:ind w:left="85"/>
        <w:pBdr>
          <w:left w:val="single" w:sz="24" w:space="6" w:color="00859B"/>
        </w:pBdr>
        <w:shd w:val="clear" w:fill="F0F4F8"/>
      </w:pPr>
      <w:r>
        <w:rPr>
          <w:rFonts w:ascii="Open Sans" w:hAnsi="Open Sans" w:eastAsia="Open Sans"/>
          <w:b w:val="0"/>
          <w:i w:val="0"/>
          <w:color w:val="222222"/>
          <w:sz w:val="19"/>
        </w:rPr>
        <w:t>Asignar los 4.034 estudiantes de la meta que hoy no tienen responsable ($1.302,9 millones) antes del cierre de septiembre. Es la única acción del plan que no depende de terceros y libera cartera que hoy nadie está llamando.</w:t>
      </w:r>
    </w:p>
    <w:p>
      <w:pPr>
        <w:spacing w:before="0" w:after="120" w:line="259" w:lineRule="auto"/>
        <w:ind w:left="85"/>
        <w:pBdr>
          <w:left w:val="single" w:sz="24" w:space="6" w:color="00859B"/>
        </w:pBdr>
        <w:shd w:val="clear" w:fill="F0F4F8"/>
      </w:pPr>
      <w:r>
        <w:rPr>
          <w:rFonts w:ascii="Open Sans" w:hAnsi="Open Sans" w:eastAsia="Open Sans"/>
          <w:b w:val="0"/>
          <w:i w:val="0"/>
          <w:color w:val="222222"/>
          <w:sz w:val="19"/>
        </w:rPr>
        <w:t>Para la liquidación de agosto, usar la tabla de la sección 6 y no las cifras del informe anterior: la diferencia por asesor es material.</w:t>
      </w:r>
    </w:p>
    <w:p>
      <w:pPr>
        <w:spacing w:after="40" w:before="0" w:line="264" w:lineRule="auto"/>
      </w:pPr>
    </w:p>
    <w:p>
      <w:pPr>
        <w:spacing w:after="60" w:before="0" w:line="264" w:lineRule="auto"/>
      </w:pPr>
      <w:r>
        <w:rPr>
          <w:rFonts w:ascii="Open Sans" w:hAnsi="Open Sans" w:eastAsia="Open Sans"/>
          <w:b w:val="0"/>
          <w:i/>
          <w:color w:val="898D8D"/>
          <w:sz w:val="17"/>
        </w:rPr>
        <w:t>Fuentes: [Financiera].[Cartera_Meta_Comercial_Historico] y su snapshot de cierre, [ZOHO].[CRM].[Historico_tipificacion_contact] y [Financiera].[Cartera_CUN_Asesor_Unico]. Extracción del 3 de septiembre de 2026. Cifras en millones de pesos colombianos. El detalle por estudiante está en Base_Gestion_Asesores_Agosto_2026.xlsx.</w:t>
      </w:r>
    </w:p>
    <w:sectPr w:rsidR="00FC693F" w:rsidRPr="0006063C" w:rsidSect="00034616">
      <w:headerReference w:type="default" r:id="rId9"/>
      <w:footerReference w:type="default" r:id="rId10"/>
      <w:pgSz w:w="12240" w:h="15840"/>
      <w:pgMar w:top="907" w:right="1134" w:bottom="73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Open Sans" w:hAnsi="Open Sans" w:eastAsia="Open Sans"/>
        <w:b w:val="0"/>
        <w:i w:val="0"/>
        <w:color w:val="898D8D"/>
        <w:sz w:val="16"/>
      </w:rPr>
      <w:t>Vicerrectoría de Servicios Digitales · Analítica financiera   |   VIGILADA MINEDUCACIÓN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Open Sans" w:hAnsi="Open Sans" w:eastAsia="Open Sans"/>
        <w:b w:val="0"/>
        <w:i w:val="0"/>
        <w:color w:val="898D8D"/>
        <w:sz w:val="16"/>
      </w:rPr>
      <w:t>Corporación Unificada Nacional de Educación Superior - CUN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eastAsia="Open Sans"/>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