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64" w:lineRule="auto"/>
      </w:pPr>
      <w:r>
        <w:rPr>
          <w:rFonts w:ascii="Montserrat" w:hAnsi="Montserrat" w:eastAsia="Montserrat"/>
          <w:b/>
          <w:i w:val="0"/>
          <w:color w:val="00859B"/>
          <w:sz w:val="19"/>
        </w:rPr>
        <w:t>INFORME EJECUTIVO</w:t>
      </w:r>
    </w:p>
    <w:p>
      <w:pPr>
        <w:spacing w:after="40" w:before="0" w:line="264" w:lineRule="auto"/>
      </w:pPr>
      <w:r>
        <w:rPr>
          <w:rFonts w:ascii="Montserrat" w:hAnsi="Montserrat" w:eastAsia="Montserrat"/>
          <w:b/>
          <w:i w:val="0"/>
          <w:color w:val="0C2340"/>
          <w:sz w:val="38"/>
        </w:rPr>
        <w:t>Meta Comercial de Cartera — Septiembre 2026</w:t>
      </w:r>
    </w:p>
    <w:p>
      <w:pPr>
        <w:spacing w:before="40" w:after="120"/>
        <w:pBdr>
          <w:bottom w:val="single" w:sz="24" w:space="1" w:color="84BD00"/>
        </w:pBdr>
      </w:pPr>
    </w:p>
    <w:p>
      <w:pPr>
        <w:spacing w:after="160"/>
      </w:pPr>
      <w:r>
        <w:rPr>
          <w:rFonts w:ascii="Open Sans" w:hAnsi="Open Sans" w:eastAsia="Open Sans"/>
          <w:b/>
          <w:i w:val="0"/>
          <w:color w:val="1B365D"/>
          <w:sz w:val="18"/>
        </w:rPr>
        <w:t xml:space="preserve">Dirigido a: </w:t>
      </w:r>
      <w:r>
        <w:rPr>
          <w:rFonts w:ascii="Open Sans" w:hAnsi="Open Sans" w:eastAsia="Open Sans"/>
          <w:b w:val="0"/>
          <w:i w:val="0"/>
          <w:color w:val="222222"/>
          <w:sz w:val="18"/>
        </w:rPr>
        <w:t xml:space="preserve">Óscar Penagos — Coordinación de Recaudo y Cartera     </w:t>
      </w:r>
      <w:r>
        <w:rPr>
          <w:rFonts w:ascii="Open Sans" w:hAnsi="Open Sans" w:eastAsia="Open Sans"/>
          <w:b/>
          <w:i w:val="0"/>
          <w:color w:val="1B365D"/>
          <w:sz w:val="18"/>
        </w:rPr>
        <w:t xml:space="preserve">Corte: </w:t>
      </w:r>
      <w:r>
        <w:rPr>
          <w:rFonts w:ascii="Open Sans" w:hAnsi="Open Sans" w:eastAsia="Open Sans"/>
          <w:b w:val="0"/>
          <w:i w:val="0"/>
          <w:color w:val="222222"/>
          <w:sz w:val="18"/>
        </w:rPr>
        <w:t xml:space="preserve">1 de septiembre de 2026     </w:t>
      </w:r>
      <w:r>
        <w:rPr>
          <w:rFonts w:ascii="Open Sans" w:hAnsi="Open Sans" w:eastAsia="Open Sans"/>
          <w:b/>
          <w:i w:val="0"/>
          <w:color w:val="1B365D"/>
          <w:sz w:val="18"/>
        </w:rPr>
        <w:t xml:space="preserve">Elaboró: </w:t>
      </w:r>
      <w:r>
        <w:rPr>
          <w:rFonts w:ascii="Open Sans" w:hAnsi="Open Sans" w:eastAsia="Open Sans"/>
          <w:b w:val="0"/>
          <w:i w:val="0"/>
          <w:color w:val="222222"/>
          <w:sz w:val="18"/>
        </w:rPr>
        <w:t>Analítica financiera CUN</w:t>
      </w:r>
    </w:p>
    <w:p>
      <w:pPr>
        <w:spacing w:before="120" w:after="0"/>
        <w:ind w:left="85"/>
        <w:pBdr>
          <w:left w:val="single" w:sz="24" w:space="6" w:color="84BD00"/>
        </w:pBdr>
        <w:shd w:val="clear" w:fill="F0F4F8"/>
      </w:pPr>
      <w:r>
        <w:rPr>
          <w:rFonts w:ascii="Montserrat" w:hAnsi="Montserrat" w:eastAsia="Montserrat"/>
          <w:b/>
          <w:i w:val="0"/>
          <w:color w:val="0C2340"/>
          <w:sz w:val="21"/>
        </w:rPr>
        <w:t>Conclusión</w:t>
      </w:r>
    </w:p>
    <w:p>
      <w:pPr>
        <w:spacing w:before="0" w:after="120" w:line="259" w:lineRule="auto"/>
        <w:ind w:left="85"/>
        <w:pBdr>
          <w:left w:val="single" w:sz="24" w:space="6" w:color="84BD00"/>
        </w:pBdr>
        <w:shd w:val="clear" w:fill="F0F4F8"/>
      </w:pPr>
      <w:r>
        <w:rPr>
          <w:rFonts w:ascii="Open Sans" w:hAnsi="Open Sans" w:eastAsia="Open Sans"/>
          <w:b w:val="0"/>
          <w:i w:val="0"/>
          <w:color w:val="222222"/>
          <w:sz w:val="19"/>
        </w:rPr>
        <w:t>La meta de septiembre quedó conformada por 56.269 obligaciones de 24.474 estudiantes, por $16.527,3 millones. La generación automática se ejecutó sin novedades y los controles de integridad cuadran en su totalidad. Tres cuartas partes del saldo (74,3%) corresponde a cartera que ya venía en gestión y el 49% de las obligaciones lleva los cuatro meses del ciclo sin salir: ese es el núcleo del esfuerzo de recuperación.</w:t>
      </w:r>
    </w:p>
    <w:p>
      <w:pPr>
        <w:spacing w:before="140" w:after="60"/>
      </w:pPr>
      <w:r>
        <w:rPr>
          <w:rFonts w:ascii="Montserrat" w:hAnsi="Montserrat" w:eastAsia="Montserrat"/>
          <w:b/>
          <w:i w:val="0"/>
          <w:color w:val="0C2340"/>
          <w:sz w:val="25"/>
        </w:rPr>
        <w:t>1.  Resultado de la generación automática</w:t>
      </w:r>
    </w:p>
    <w:p>
      <w:pPr>
        <w:spacing w:after="80" w:before="0" w:line="264" w:lineRule="auto"/>
      </w:pPr>
      <w:r>
        <w:rPr>
          <w:rFonts w:ascii="Open Sans" w:hAnsi="Open Sans" w:eastAsia="Open Sans"/>
          <w:b w:val="0"/>
          <w:i w:val="0"/>
          <w:color w:val="222222"/>
          <w:sz w:val="20"/>
        </w:rPr>
        <w:t>Ejecutamos el proceso programado el 1 de septiembre a las 07:40, con una duración de 8 minutos 58 segundos y finalización correcta. Antes de refrescar la meta se tomó la foto mensual de respaldo de 65.456 registros, de modo que el estado con el que cerró agosto queda preservado para comparaciones posteriores.</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Controles de integridad: </w:t>
      </w:r>
      <w:r>
        <w:rPr>
          <w:rFonts w:ascii="Open Sans" w:hAnsi="Open Sans" w:eastAsia="Open Sans"/>
          <w:b w:val="0"/>
          <w:i w:val="0"/>
          <w:color w:val="222222"/>
          <w:sz w:val="19"/>
        </w:rPr>
        <w:t>15.405 obligaciones nuevas más 40.864 acumuladas equivalen exactamente a las 56.269 marcadas en septiembre; el histórico no presenta créditos duplicados sobre 80.861 registros, ni marcas de mes ausentes o repetidas.</w:t>
      </w:r>
    </w:p>
    <w:p>
      <w:pPr>
        <w:spacing w:before="140" w:after="60"/>
      </w:pPr>
      <w:r>
        <w:rPr>
          <w:rFonts w:ascii="Montserrat" w:hAnsi="Montserrat" w:eastAsia="Montserrat"/>
          <w:b/>
          <w:i w:val="0"/>
          <w:color w:val="0C2340"/>
          <w:sz w:val="25"/>
        </w:rPr>
        <w:t>2.  Tamaño de la meta</w:t>
      </w:r>
    </w:p>
    <w:tbl>
      <w:tblPr>
        <w:tblW w:type="auto" w:w="0"/>
        <w:jc w:val="center"/>
        <w:tblLook w:firstColumn="1" w:firstRow="1" w:lastColumn="0" w:lastRow="0" w:noHBand="0" w:noVBand="1" w:val="04A0"/>
      </w:tblPr>
      <w:tblGrid>
        <w:gridCol w:w="2465"/>
        <w:gridCol w:w="2465"/>
        <w:gridCol w:w="2465"/>
        <w:gridCol w:w="2465"/>
      </w:tblGrid>
      <w:tr>
        <w:tc>
          <w:tcPr>
            <w:tcW w:type="dxa" w:w="2465"/>
          </w:tcPr>
          <w:p>
            <w:pPr>
              <w:spacing w:after="20" w:before="20"/>
              <w:jc w:val="center"/>
            </w:pPr>
            <w:r/>
            <w:r>
              <w:rPr>
                <w:rFonts w:ascii="Montserrat" w:hAnsi="Montserrat" w:eastAsia="Montserrat"/>
                <w:b/>
                <w:i w:val="0"/>
                <w:color w:val="00859B"/>
                <w:sz w:val="30"/>
              </w:rPr>
              <w:t>56.269</w:t>
            </w:r>
          </w:p>
        </w:tc>
        <w:tc>
          <w:tcPr>
            <w:tcW w:type="dxa" w:w="2465"/>
          </w:tcPr>
          <w:p>
            <w:pPr>
              <w:spacing w:after="20" w:before="20"/>
              <w:jc w:val="center"/>
            </w:pPr>
            <w:r/>
            <w:r>
              <w:rPr>
                <w:rFonts w:ascii="Montserrat" w:hAnsi="Montserrat" w:eastAsia="Montserrat"/>
                <w:b/>
                <w:i w:val="0"/>
                <w:color w:val="00859B"/>
                <w:sz w:val="30"/>
              </w:rPr>
              <w:t>24.474</w:t>
            </w:r>
          </w:p>
        </w:tc>
        <w:tc>
          <w:tcPr>
            <w:tcW w:type="dxa" w:w="2465"/>
          </w:tcPr>
          <w:p>
            <w:pPr>
              <w:spacing w:after="20" w:before="20"/>
              <w:jc w:val="center"/>
            </w:pPr>
            <w:r/>
            <w:r>
              <w:rPr>
                <w:rFonts w:ascii="Montserrat" w:hAnsi="Montserrat" w:eastAsia="Montserrat"/>
                <w:b/>
                <w:i w:val="0"/>
                <w:color w:val="00859B"/>
                <w:sz w:val="30"/>
              </w:rPr>
              <w:t>$16.527</w:t>
            </w:r>
          </w:p>
        </w:tc>
        <w:tc>
          <w:tcPr>
            <w:tcW w:type="dxa" w:w="2465"/>
          </w:tcPr>
          <w:p>
            <w:pPr>
              <w:spacing w:after="20" w:before="20"/>
              <w:jc w:val="center"/>
            </w:pPr>
            <w:r/>
            <w:r>
              <w:rPr>
                <w:rFonts w:ascii="Montserrat" w:hAnsi="Montserrat" w:eastAsia="Montserrat"/>
                <w:b/>
                <w:i w:val="0"/>
                <w:color w:val="00859B"/>
                <w:sz w:val="30"/>
              </w:rPr>
              <w:t>$293.720</w:t>
            </w:r>
          </w:p>
        </w:tc>
      </w:tr>
      <w:tr>
        <w:tc>
          <w:tcPr>
            <w:tcW w:type="dxa" w:w="2465"/>
          </w:tcPr>
          <w:p>
            <w:pPr>
              <w:spacing w:after="20" w:before="20"/>
              <w:jc w:val="center"/>
            </w:pPr>
            <w:r/>
            <w:r>
              <w:rPr>
                <w:rFonts w:ascii="Open Sans" w:hAnsi="Open Sans" w:eastAsia="Open Sans"/>
                <w:b w:val="0"/>
                <w:i w:val="0"/>
                <w:color w:val="898D8D"/>
                <w:sz w:val="16"/>
              </w:rPr>
              <w:t>OBLIGACIONES</w:t>
            </w:r>
          </w:p>
        </w:tc>
        <w:tc>
          <w:tcPr>
            <w:tcW w:type="dxa" w:w="2465"/>
          </w:tcPr>
          <w:p>
            <w:pPr>
              <w:spacing w:after="20" w:before="20"/>
              <w:jc w:val="center"/>
            </w:pPr>
            <w:r/>
            <w:r>
              <w:rPr>
                <w:rFonts w:ascii="Open Sans" w:hAnsi="Open Sans" w:eastAsia="Open Sans"/>
                <w:b w:val="0"/>
                <w:i w:val="0"/>
                <w:color w:val="898D8D"/>
                <w:sz w:val="16"/>
              </w:rPr>
              <w:t>ESTUDIANTES</w:t>
            </w:r>
          </w:p>
        </w:tc>
        <w:tc>
          <w:tcPr>
            <w:tcW w:type="dxa" w:w="2465"/>
          </w:tcPr>
          <w:p>
            <w:pPr>
              <w:spacing w:after="20" w:before="20"/>
              <w:jc w:val="center"/>
            </w:pPr>
            <w:r/>
            <w:r>
              <w:rPr>
                <w:rFonts w:ascii="Open Sans" w:hAnsi="Open Sans" w:eastAsia="Open Sans"/>
                <w:b w:val="0"/>
                <w:i w:val="0"/>
                <w:color w:val="898D8D"/>
                <w:sz w:val="16"/>
              </w:rPr>
              <w:t>MILLONES</w:t>
            </w:r>
          </w:p>
        </w:tc>
        <w:tc>
          <w:tcPr>
            <w:tcW w:type="dxa" w:w="2465"/>
          </w:tcPr>
          <w:p>
            <w:pPr>
              <w:spacing w:after="20" w:before="20"/>
              <w:jc w:val="center"/>
            </w:pPr>
            <w:r/>
            <w:r>
              <w:rPr>
                <w:rFonts w:ascii="Open Sans" w:hAnsi="Open Sans" w:eastAsia="Open Sans"/>
                <w:b w:val="0"/>
                <w:i w:val="0"/>
                <w:color w:val="898D8D"/>
                <w:sz w:val="16"/>
              </w:rPr>
              <w:t>TICKET PROMEDIO</w:t>
            </w:r>
          </w:p>
        </w:tc>
      </w:tr>
    </w:tbl>
    <w:p>
      <w:pPr>
        <w:spacing w:after="80" w:before="100" w:line="264" w:lineRule="auto"/>
      </w:pPr>
      <w:r>
        <w:rPr>
          <w:rFonts w:ascii="Open Sans" w:hAnsi="Open Sans" w:eastAsia="Open Sans"/>
          <w:b w:val="0"/>
          <w:i w:val="0"/>
          <w:color w:val="222222"/>
          <w:sz w:val="20"/>
        </w:rPr>
        <w:t>Cada estudiante concentra en promedio 2,30 cuotas en mora: un solo contacto efectivo resuelve más de dos registros de la meta.</w:t>
      </w:r>
    </w:p>
    <w:p>
      <w:pPr>
        <w:spacing w:before="140" w:after="60"/>
      </w:pPr>
      <w:r>
        <w:rPr>
          <w:rFonts w:ascii="Montserrat" w:hAnsi="Montserrat" w:eastAsia="Montserrat"/>
          <w:b/>
          <w:i w:val="0"/>
          <w:color w:val="0C2340"/>
          <w:sz w:val="25"/>
        </w:rPr>
        <w:t>3.  Composición y movimiento del mes</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4195"/>
            <w:shd w:val="clear" w:fill="0C2340"/>
          </w:tcPr>
          <w:p>
            <w:pPr>
              <w:spacing w:after="20" w:before="20"/>
            </w:pPr>
            <w:r/>
            <w:r>
              <w:rPr>
                <w:rFonts w:ascii="Montserrat" w:hAnsi="Montserrat" w:eastAsia="Montserrat"/>
                <w:b/>
                <w:i w:val="0"/>
                <w:color w:val="FFFFFF"/>
                <w:sz w:val="17"/>
              </w:rPr>
              <w:t>Concepto</w:t>
            </w:r>
          </w:p>
        </w:tc>
        <w:tc>
          <w:tcPr>
            <w:tcW w:type="dxa" w:w="1417"/>
            <w:shd w:val="clear" w:fill="0C2340"/>
          </w:tcPr>
          <w:p>
            <w:pPr>
              <w:spacing w:after="20" w:before="20"/>
              <w:jc w:val="right"/>
            </w:pPr>
            <w:r/>
            <w:r>
              <w:rPr>
                <w:rFonts w:ascii="Montserrat" w:hAnsi="Montserrat" w:eastAsia="Montserrat"/>
                <w:b/>
                <w:i w:val="0"/>
                <w:color w:val="FFFFFF"/>
                <w:sz w:val="17"/>
              </w:rPr>
              <w:t>Obligaciones</w:t>
            </w:r>
          </w:p>
        </w:tc>
        <w:tc>
          <w:tcPr>
            <w:tcW w:type="dxa" w:w="1361"/>
            <w:shd w:val="clear" w:fill="0C2340"/>
          </w:tcPr>
          <w:p>
            <w:pPr>
              <w:spacing w:after="20" w:before="20"/>
              <w:jc w:val="right"/>
            </w:pPr>
            <w:r/>
            <w:r>
              <w:rPr>
                <w:rFonts w:ascii="Montserrat" w:hAnsi="Montserrat" w:eastAsia="Montserrat"/>
                <w:b/>
                <w:i w:val="0"/>
                <w:color w:val="FFFFFF"/>
                <w:sz w:val="17"/>
              </w:rPr>
              <w:t>Estudiantes</w:t>
            </w:r>
          </w:p>
        </w:tc>
        <w:tc>
          <w:tcPr>
            <w:tcW w:type="dxa" w:w="1417"/>
            <w:shd w:val="clear" w:fill="0C2340"/>
          </w:tcPr>
          <w:p>
            <w:pPr>
              <w:spacing w:after="20" w:before="20"/>
              <w:jc w:val="right"/>
            </w:pPr>
            <w:r/>
            <w:r>
              <w:rPr>
                <w:rFonts w:ascii="Montserrat" w:hAnsi="Montserrat" w:eastAsia="Montserrat"/>
                <w:b/>
                <w:i w:val="0"/>
                <w:color w:val="FFFFFF"/>
                <w:sz w:val="17"/>
              </w:rPr>
              <w:t>Saldo ($ MM)</w:t>
            </w:r>
          </w:p>
        </w:tc>
        <w:tc>
          <w:tcPr>
            <w:tcW w:type="dxa" w:w="907"/>
            <w:shd w:val="clear" w:fill="0C2340"/>
          </w:tcPr>
          <w:p>
            <w:pPr>
              <w:spacing w:after="20" w:before="20"/>
              <w:jc w:val="right"/>
            </w:pPr>
            <w:r/>
            <w:r>
              <w:rPr>
                <w:rFonts w:ascii="Montserrat" w:hAnsi="Montserrat" w:eastAsia="Montserrat"/>
                <w:b/>
                <w:i w:val="0"/>
                <w:color w:val="FFFFFF"/>
                <w:sz w:val="17"/>
              </w:rPr>
              <w:t>% saldo</w:t>
            </w:r>
          </w:p>
        </w:tc>
      </w:tr>
      <w:tr>
        <w:tc>
          <w:tcPr>
            <w:tcW w:type="dxa" w:w="4195"/>
          </w:tcPr>
          <w:p>
            <w:pPr>
              <w:spacing w:after="20" w:before="20"/>
            </w:pPr>
            <w:r/>
            <w:r>
              <w:rPr>
                <w:rFonts w:ascii="Open Sans" w:hAnsi="Open Sans" w:eastAsia="Open Sans"/>
                <w:b w:val="0"/>
                <w:i w:val="0"/>
                <w:color w:val="222222"/>
                <w:sz w:val="17"/>
              </w:rPr>
              <w:t>Cartera de arrastre (ya venía en la meta)</w:t>
            </w:r>
          </w:p>
        </w:tc>
        <w:tc>
          <w:tcPr>
            <w:tcW w:type="dxa" w:w="1417"/>
          </w:tcPr>
          <w:p>
            <w:pPr>
              <w:spacing w:after="20" w:before="20"/>
              <w:jc w:val="right"/>
            </w:pPr>
            <w:r/>
            <w:r>
              <w:rPr>
                <w:rFonts w:ascii="Open Sans" w:hAnsi="Open Sans" w:eastAsia="Open Sans"/>
                <w:b w:val="0"/>
                <w:i w:val="0"/>
                <w:color w:val="222222"/>
                <w:sz w:val="17"/>
              </w:rPr>
              <w:t>40.864</w:t>
            </w:r>
          </w:p>
        </w:tc>
        <w:tc>
          <w:tcPr>
            <w:tcW w:type="dxa" w:w="1361"/>
          </w:tcPr>
          <w:p>
            <w:pPr>
              <w:spacing w:after="20" w:before="20"/>
              <w:jc w:val="right"/>
            </w:pPr>
            <w:r/>
            <w:r>
              <w:rPr>
                <w:rFonts w:ascii="Open Sans" w:hAnsi="Open Sans" w:eastAsia="Open Sans"/>
                <w:b w:val="0"/>
                <w:i w:val="0"/>
                <w:color w:val="222222"/>
                <w:sz w:val="17"/>
              </w:rPr>
              <w:t>15.007</w:t>
            </w:r>
          </w:p>
        </w:tc>
        <w:tc>
          <w:tcPr>
            <w:tcW w:type="dxa" w:w="1417"/>
          </w:tcPr>
          <w:p>
            <w:pPr>
              <w:spacing w:after="20" w:before="20"/>
              <w:jc w:val="right"/>
            </w:pPr>
            <w:r/>
            <w:r>
              <w:rPr>
                <w:rFonts w:ascii="Open Sans" w:hAnsi="Open Sans" w:eastAsia="Open Sans"/>
                <w:b w:val="0"/>
                <w:i w:val="0"/>
                <w:color w:val="222222"/>
                <w:sz w:val="17"/>
              </w:rPr>
              <w:t>12.274,6</w:t>
            </w:r>
          </w:p>
        </w:tc>
        <w:tc>
          <w:tcPr>
            <w:tcW w:type="dxa" w:w="907"/>
          </w:tcPr>
          <w:p>
            <w:pPr>
              <w:spacing w:after="20" w:before="20"/>
              <w:jc w:val="right"/>
            </w:pPr>
            <w:r/>
            <w:r>
              <w:rPr>
                <w:rFonts w:ascii="Open Sans" w:hAnsi="Open Sans" w:eastAsia="Open Sans"/>
                <w:b w:val="0"/>
                <w:i w:val="0"/>
                <w:color w:val="222222"/>
                <w:sz w:val="17"/>
              </w:rPr>
              <w:t>74,3%</w:t>
            </w:r>
          </w:p>
        </w:tc>
      </w:tr>
      <w:tr>
        <w:tc>
          <w:tcPr>
            <w:tcW w:type="dxa" w:w="4195"/>
            <w:shd w:val="clear" w:fill="F8F9FA"/>
          </w:tcPr>
          <w:p>
            <w:pPr>
              <w:spacing w:after="20" w:before="20"/>
            </w:pPr>
            <w:r/>
            <w:r>
              <w:rPr>
                <w:rFonts w:ascii="Open Sans" w:hAnsi="Open Sans" w:eastAsia="Open Sans"/>
                <w:b w:val="0"/>
                <w:i w:val="0"/>
                <w:color w:val="222222"/>
                <w:sz w:val="17"/>
              </w:rPr>
              <w:t>Ingresos nuevos de septiembre</w:t>
            </w:r>
          </w:p>
        </w:tc>
        <w:tc>
          <w:tcPr>
            <w:tcW w:type="dxa" w:w="1417"/>
            <w:shd w:val="clear" w:fill="F8F9FA"/>
          </w:tcPr>
          <w:p>
            <w:pPr>
              <w:spacing w:after="20" w:before="20"/>
              <w:jc w:val="right"/>
            </w:pPr>
            <w:r/>
            <w:r>
              <w:rPr>
                <w:rFonts w:ascii="Open Sans" w:hAnsi="Open Sans" w:eastAsia="Open Sans"/>
                <w:b w:val="0"/>
                <w:i w:val="0"/>
                <w:color w:val="222222"/>
                <w:sz w:val="17"/>
              </w:rPr>
              <w:t>15.405</w:t>
            </w:r>
          </w:p>
        </w:tc>
        <w:tc>
          <w:tcPr>
            <w:tcW w:type="dxa" w:w="1361"/>
            <w:shd w:val="clear" w:fill="F8F9FA"/>
          </w:tcPr>
          <w:p>
            <w:pPr>
              <w:spacing w:after="20" w:before="20"/>
              <w:jc w:val="right"/>
            </w:pPr>
            <w:r/>
            <w:r>
              <w:rPr>
                <w:rFonts w:ascii="Open Sans" w:hAnsi="Open Sans" w:eastAsia="Open Sans"/>
                <w:b w:val="0"/>
                <w:i w:val="0"/>
                <w:color w:val="222222"/>
                <w:sz w:val="17"/>
              </w:rPr>
              <w:t>15.324</w:t>
            </w:r>
          </w:p>
        </w:tc>
        <w:tc>
          <w:tcPr>
            <w:tcW w:type="dxa" w:w="1417"/>
            <w:shd w:val="clear" w:fill="F8F9FA"/>
          </w:tcPr>
          <w:p>
            <w:pPr>
              <w:spacing w:after="20" w:before="20"/>
              <w:jc w:val="right"/>
            </w:pPr>
            <w:r/>
            <w:r>
              <w:rPr>
                <w:rFonts w:ascii="Open Sans" w:hAnsi="Open Sans" w:eastAsia="Open Sans"/>
                <w:b w:val="0"/>
                <w:i w:val="0"/>
                <w:color w:val="222222"/>
                <w:sz w:val="17"/>
              </w:rPr>
              <w:t>4.252,7</w:t>
            </w:r>
          </w:p>
        </w:tc>
        <w:tc>
          <w:tcPr>
            <w:tcW w:type="dxa" w:w="907"/>
            <w:shd w:val="clear" w:fill="F8F9FA"/>
          </w:tcPr>
          <w:p>
            <w:pPr>
              <w:spacing w:after="20" w:before="20"/>
              <w:jc w:val="right"/>
            </w:pPr>
            <w:r/>
            <w:r>
              <w:rPr>
                <w:rFonts w:ascii="Open Sans" w:hAnsi="Open Sans" w:eastAsia="Open Sans"/>
                <w:b w:val="0"/>
                <w:i w:val="0"/>
                <w:color w:val="222222"/>
                <w:sz w:val="17"/>
              </w:rPr>
              <w:t>25,7%</w:t>
            </w:r>
          </w:p>
        </w:tc>
      </w:tr>
      <w:tr>
        <w:tc>
          <w:tcPr>
            <w:tcW w:type="dxa" w:w="4195"/>
          </w:tcPr>
          <w:p>
            <w:pPr>
              <w:spacing w:after="20" w:before="20"/>
            </w:pPr>
            <w:r/>
            <w:r>
              <w:rPr>
                <w:rFonts w:ascii="Open Sans" w:hAnsi="Open Sans" w:eastAsia="Open Sans"/>
                <w:b/>
                <w:i w:val="0"/>
                <w:color w:val="222222"/>
                <w:sz w:val="17"/>
              </w:rPr>
              <w:t>Total meta septiembre</w:t>
            </w:r>
          </w:p>
        </w:tc>
        <w:tc>
          <w:tcPr>
            <w:tcW w:type="dxa" w:w="1417"/>
          </w:tcPr>
          <w:p>
            <w:pPr>
              <w:spacing w:after="20" w:before="20"/>
              <w:jc w:val="right"/>
            </w:pPr>
            <w:r/>
            <w:r>
              <w:rPr>
                <w:rFonts w:ascii="Open Sans" w:hAnsi="Open Sans" w:eastAsia="Open Sans"/>
                <w:b w:val="0"/>
                <w:i w:val="0"/>
                <w:color w:val="222222"/>
                <w:sz w:val="17"/>
              </w:rPr>
              <w:t>56.269</w:t>
            </w:r>
          </w:p>
        </w:tc>
        <w:tc>
          <w:tcPr>
            <w:tcW w:type="dxa" w:w="1361"/>
          </w:tcPr>
          <w:p>
            <w:pPr>
              <w:spacing w:after="20" w:before="20"/>
              <w:jc w:val="right"/>
            </w:pPr>
            <w:r/>
            <w:r>
              <w:rPr>
                <w:rFonts w:ascii="Open Sans" w:hAnsi="Open Sans" w:eastAsia="Open Sans"/>
                <w:b w:val="0"/>
                <w:i w:val="0"/>
                <w:color w:val="222222"/>
                <w:sz w:val="17"/>
              </w:rPr>
              <w:t>24.474</w:t>
            </w:r>
          </w:p>
        </w:tc>
        <w:tc>
          <w:tcPr>
            <w:tcW w:type="dxa" w:w="1417"/>
          </w:tcPr>
          <w:p>
            <w:pPr>
              <w:spacing w:after="20" w:before="20"/>
              <w:jc w:val="right"/>
            </w:pPr>
            <w:r/>
            <w:r>
              <w:rPr>
                <w:rFonts w:ascii="Open Sans" w:hAnsi="Open Sans" w:eastAsia="Open Sans"/>
                <w:b w:val="0"/>
                <w:i w:val="0"/>
                <w:color w:val="222222"/>
                <w:sz w:val="17"/>
              </w:rPr>
              <w:t>16.527,3</w:t>
            </w:r>
          </w:p>
        </w:tc>
        <w:tc>
          <w:tcPr>
            <w:tcW w:type="dxa" w:w="907"/>
          </w:tcPr>
          <w:p>
            <w:pPr>
              <w:spacing w:after="20" w:before="20"/>
              <w:jc w:val="right"/>
            </w:pPr>
            <w:r/>
            <w:r>
              <w:rPr>
                <w:rFonts w:ascii="Open Sans" w:hAnsi="Open Sans" w:eastAsia="Open Sans"/>
                <w:b w:val="0"/>
                <w:i w:val="0"/>
                <w:color w:val="222222"/>
                <w:sz w:val="17"/>
              </w:rPr>
              <w:t>100,0%</w:t>
            </w:r>
          </w:p>
        </w:tc>
      </w:tr>
    </w:tbl>
    <w:p>
      <w:pPr>
        <w:spacing w:after="40" w:before="0" w:line="264" w:lineRule="auto"/>
      </w:pP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Salidas del mes: </w:t>
      </w:r>
      <w:r>
        <w:rPr>
          <w:rFonts w:ascii="Open Sans" w:hAnsi="Open Sans" w:eastAsia="Open Sans"/>
          <w:b w:val="0"/>
          <w:i w:val="0"/>
          <w:color w:val="222222"/>
          <w:sz w:val="19"/>
        </w:rPr>
        <w:t>9.289 obligaciones de 6.248 estudiantes, por $2.769,5 millones, salieron de la meta entre agosto y septiembre por pago o normalización.</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Permanencia crítica: </w:t>
      </w:r>
      <w:r>
        <w:rPr>
          <w:rFonts w:ascii="Open Sans" w:hAnsi="Open Sans" w:eastAsia="Open Sans"/>
          <w:b w:val="0"/>
          <w:i w:val="0"/>
          <w:color w:val="222222"/>
          <w:sz w:val="19"/>
        </w:rPr>
        <w:t>27.619 obligaciones ($8.808,3 millones, el 49,1% del total) permanecen en la meta desde junio sin haber salido ningún mes.</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Avance temprano: </w:t>
      </w:r>
      <w:r>
        <w:rPr>
          <w:rFonts w:ascii="Open Sans" w:hAnsi="Open Sans" w:eastAsia="Open Sans"/>
          <w:b w:val="0"/>
          <w:i w:val="0"/>
          <w:color w:val="222222"/>
          <w:sz w:val="19"/>
        </w:rPr>
        <w:t>al 2 de septiembre ya salieron 1.793 obligaciones de 1.473 estudiantes por $479,7 millones.</w:t>
      </w:r>
    </w:p>
    <w:p>
      <w:pPr>
        <w:spacing w:after="60" w:before="160" w:line="264" w:lineRule="auto"/>
      </w:pPr>
      <w:r>
        <w:rPr>
          <w:rFonts w:ascii="Montserrat" w:hAnsi="Montserrat" w:eastAsia="Montserrat"/>
          <w:b/>
          <w:i w:val="0"/>
          <w:color w:val="1B365D"/>
          <w:sz w:val="20"/>
        </w:rPr>
        <w:t>Periodos académicos con mayor participación</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587"/>
            <w:shd w:val="clear" w:fill="0C2340"/>
          </w:tcPr>
          <w:p>
            <w:pPr>
              <w:spacing w:after="20" w:before="20"/>
            </w:pPr>
            <w:r/>
            <w:r>
              <w:rPr>
                <w:rFonts w:ascii="Montserrat" w:hAnsi="Montserrat" w:eastAsia="Montserrat"/>
                <w:b/>
                <w:i w:val="0"/>
                <w:color w:val="FFFFFF"/>
                <w:sz w:val="17"/>
              </w:rPr>
              <w:t>Periodo</w:t>
            </w:r>
          </w:p>
        </w:tc>
        <w:tc>
          <w:tcPr>
            <w:tcW w:type="dxa" w:w="1077"/>
            <w:shd w:val="clear" w:fill="0C2340"/>
          </w:tcPr>
          <w:p>
            <w:pPr>
              <w:spacing w:after="20" w:before="20"/>
              <w:jc w:val="right"/>
            </w:pPr>
            <w:r/>
            <w:r>
              <w:rPr>
                <w:rFonts w:ascii="Montserrat" w:hAnsi="Montserrat" w:eastAsia="Montserrat"/>
                <w:b/>
                <w:i w:val="0"/>
                <w:color w:val="FFFFFF"/>
                <w:sz w:val="17"/>
              </w:rPr>
              <w:t>26V02</w:t>
            </w:r>
          </w:p>
        </w:tc>
        <w:tc>
          <w:tcPr>
            <w:tcW w:type="dxa" w:w="1077"/>
            <w:shd w:val="clear" w:fill="0C2340"/>
          </w:tcPr>
          <w:p>
            <w:pPr>
              <w:spacing w:after="20" w:before="20"/>
              <w:jc w:val="right"/>
            </w:pPr>
            <w:r/>
            <w:r>
              <w:rPr>
                <w:rFonts w:ascii="Montserrat" w:hAnsi="Montserrat" w:eastAsia="Montserrat"/>
                <w:b/>
                <w:i w:val="0"/>
                <w:color w:val="FFFFFF"/>
                <w:sz w:val="17"/>
              </w:rPr>
              <w:t>26V01</w:t>
            </w:r>
          </w:p>
        </w:tc>
        <w:tc>
          <w:tcPr>
            <w:tcW w:type="dxa" w:w="1077"/>
            <w:shd w:val="clear" w:fill="0C2340"/>
          </w:tcPr>
          <w:p>
            <w:pPr>
              <w:spacing w:after="20" w:before="20"/>
              <w:jc w:val="right"/>
            </w:pPr>
            <w:r/>
            <w:r>
              <w:rPr>
                <w:rFonts w:ascii="Montserrat" w:hAnsi="Montserrat" w:eastAsia="Montserrat"/>
                <w:b/>
                <w:i w:val="0"/>
                <w:color w:val="FFFFFF"/>
                <w:sz w:val="17"/>
              </w:rPr>
              <w:t>26V03</w:t>
            </w:r>
          </w:p>
        </w:tc>
        <w:tc>
          <w:tcPr>
            <w:tcW w:type="dxa" w:w="1077"/>
            <w:shd w:val="clear" w:fill="0C2340"/>
          </w:tcPr>
          <w:p>
            <w:pPr>
              <w:spacing w:after="20" w:before="20"/>
              <w:jc w:val="right"/>
            </w:pPr>
            <w:r/>
            <w:r>
              <w:rPr>
                <w:rFonts w:ascii="Montserrat" w:hAnsi="Montserrat" w:eastAsia="Montserrat"/>
                <w:b/>
                <w:i w:val="0"/>
                <w:color w:val="FFFFFF"/>
                <w:sz w:val="17"/>
              </w:rPr>
              <w:t>26V04</w:t>
            </w:r>
          </w:p>
        </w:tc>
        <w:tc>
          <w:tcPr>
            <w:tcW w:type="dxa" w:w="1077"/>
            <w:shd w:val="clear" w:fill="0C2340"/>
          </w:tcPr>
          <w:p>
            <w:pPr>
              <w:spacing w:after="20" w:before="20"/>
              <w:jc w:val="right"/>
            </w:pPr>
            <w:r/>
            <w:r>
              <w:rPr>
                <w:rFonts w:ascii="Montserrat" w:hAnsi="Montserrat" w:eastAsia="Montserrat"/>
                <w:b/>
                <w:i w:val="0"/>
                <w:color w:val="FFFFFF"/>
                <w:sz w:val="17"/>
              </w:rPr>
              <w:t>26ES3</w:t>
            </w:r>
          </w:p>
        </w:tc>
        <w:tc>
          <w:tcPr>
            <w:tcW w:type="dxa" w:w="1077"/>
            <w:shd w:val="clear" w:fill="0C2340"/>
          </w:tcPr>
          <w:p>
            <w:pPr>
              <w:spacing w:after="20" w:before="20"/>
              <w:jc w:val="right"/>
            </w:pPr>
            <w:r/>
            <w:r>
              <w:rPr>
                <w:rFonts w:ascii="Montserrat" w:hAnsi="Montserrat" w:eastAsia="Montserrat"/>
                <w:b/>
                <w:i w:val="0"/>
                <w:color w:val="FFFFFF"/>
                <w:sz w:val="17"/>
              </w:rPr>
              <w:t>2026C</w:t>
            </w:r>
          </w:p>
        </w:tc>
        <w:tc>
          <w:tcPr>
            <w:tcW w:type="dxa" w:w="1077"/>
            <w:shd w:val="clear" w:fill="0C2340"/>
          </w:tcPr>
          <w:p>
            <w:pPr>
              <w:spacing w:after="20" w:before="20"/>
              <w:jc w:val="right"/>
            </w:pPr>
            <w:r/>
            <w:r>
              <w:rPr>
                <w:rFonts w:ascii="Montserrat" w:hAnsi="Montserrat" w:eastAsia="Montserrat"/>
                <w:b/>
                <w:i w:val="0"/>
                <w:color w:val="FFFFFF"/>
                <w:sz w:val="17"/>
              </w:rPr>
              <w:t>Resto</w:t>
            </w:r>
          </w:p>
        </w:tc>
      </w:tr>
      <w:tr>
        <w:tc>
          <w:tcPr>
            <w:tcW w:type="dxa" w:w="1587"/>
          </w:tcPr>
          <w:p>
            <w:pPr>
              <w:spacing w:after="20" w:before="20"/>
            </w:pPr>
            <w:r/>
            <w:r>
              <w:rPr>
                <w:rFonts w:ascii="Open Sans" w:hAnsi="Open Sans" w:eastAsia="Open Sans"/>
                <w:b w:val="0"/>
                <w:i w:val="0"/>
                <w:color w:val="222222"/>
                <w:sz w:val="17"/>
              </w:rPr>
              <w:t>Obligaciones</w:t>
            </w:r>
          </w:p>
        </w:tc>
        <w:tc>
          <w:tcPr>
            <w:tcW w:type="dxa" w:w="1077"/>
          </w:tcPr>
          <w:p>
            <w:pPr>
              <w:spacing w:after="20" w:before="20"/>
              <w:jc w:val="right"/>
            </w:pPr>
            <w:r/>
            <w:r>
              <w:rPr>
                <w:rFonts w:ascii="Open Sans" w:hAnsi="Open Sans" w:eastAsia="Open Sans"/>
                <w:b w:val="0"/>
                <w:i w:val="0"/>
                <w:color w:val="222222"/>
                <w:sz w:val="17"/>
              </w:rPr>
              <w:t>11.792</w:t>
            </w:r>
          </w:p>
        </w:tc>
        <w:tc>
          <w:tcPr>
            <w:tcW w:type="dxa" w:w="1077"/>
          </w:tcPr>
          <w:p>
            <w:pPr>
              <w:spacing w:after="20" w:before="20"/>
              <w:jc w:val="right"/>
            </w:pPr>
            <w:r/>
            <w:r>
              <w:rPr>
                <w:rFonts w:ascii="Open Sans" w:hAnsi="Open Sans" w:eastAsia="Open Sans"/>
                <w:b w:val="0"/>
                <w:i w:val="0"/>
                <w:color w:val="222222"/>
                <w:sz w:val="17"/>
              </w:rPr>
              <w:t>11.474</w:t>
            </w:r>
          </w:p>
        </w:tc>
        <w:tc>
          <w:tcPr>
            <w:tcW w:type="dxa" w:w="1077"/>
          </w:tcPr>
          <w:p>
            <w:pPr>
              <w:spacing w:after="20" w:before="20"/>
              <w:jc w:val="right"/>
            </w:pPr>
            <w:r/>
            <w:r>
              <w:rPr>
                <w:rFonts w:ascii="Open Sans" w:hAnsi="Open Sans" w:eastAsia="Open Sans"/>
                <w:b w:val="0"/>
                <w:i w:val="0"/>
                <w:color w:val="222222"/>
                <w:sz w:val="17"/>
              </w:rPr>
              <w:t>9.145</w:t>
            </w:r>
          </w:p>
        </w:tc>
        <w:tc>
          <w:tcPr>
            <w:tcW w:type="dxa" w:w="1077"/>
          </w:tcPr>
          <w:p>
            <w:pPr>
              <w:spacing w:after="20" w:before="20"/>
              <w:jc w:val="right"/>
            </w:pPr>
            <w:r/>
            <w:r>
              <w:rPr>
                <w:rFonts w:ascii="Open Sans" w:hAnsi="Open Sans" w:eastAsia="Open Sans"/>
                <w:b w:val="0"/>
                <w:i w:val="0"/>
                <w:color w:val="222222"/>
                <w:sz w:val="17"/>
              </w:rPr>
              <w:t>6.307</w:t>
            </w:r>
          </w:p>
        </w:tc>
        <w:tc>
          <w:tcPr>
            <w:tcW w:type="dxa" w:w="1077"/>
          </w:tcPr>
          <w:p>
            <w:pPr>
              <w:spacing w:after="20" w:before="20"/>
              <w:jc w:val="right"/>
            </w:pPr>
            <w:r/>
            <w:r>
              <w:rPr>
                <w:rFonts w:ascii="Open Sans" w:hAnsi="Open Sans" w:eastAsia="Open Sans"/>
                <w:b w:val="0"/>
                <w:i w:val="0"/>
                <w:color w:val="222222"/>
                <w:sz w:val="17"/>
              </w:rPr>
              <w:t>3.343</w:t>
            </w:r>
          </w:p>
        </w:tc>
        <w:tc>
          <w:tcPr>
            <w:tcW w:type="dxa" w:w="1077"/>
          </w:tcPr>
          <w:p>
            <w:pPr>
              <w:spacing w:after="20" w:before="20"/>
              <w:jc w:val="right"/>
            </w:pPr>
            <w:r/>
            <w:r>
              <w:rPr>
                <w:rFonts w:ascii="Open Sans" w:hAnsi="Open Sans" w:eastAsia="Open Sans"/>
                <w:b w:val="0"/>
                <w:i w:val="0"/>
                <w:color w:val="222222"/>
                <w:sz w:val="17"/>
              </w:rPr>
              <w:t>2.918</w:t>
            </w:r>
          </w:p>
        </w:tc>
        <w:tc>
          <w:tcPr>
            <w:tcW w:type="dxa" w:w="1077"/>
          </w:tcPr>
          <w:p>
            <w:pPr>
              <w:spacing w:after="20" w:before="20"/>
              <w:jc w:val="right"/>
            </w:pPr>
            <w:r/>
            <w:r>
              <w:rPr>
                <w:rFonts w:ascii="Open Sans" w:hAnsi="Open Sans" w:eastAsia="Open Sans"/>
                <w:b w:val="0"/>
                <w:i w:val="0"/>
                <w:color w:val="222222"/>
                <w:sz w:val="17"/>
              </w:rPr>
              <w:t>11.290</w:t>
            </w:r>
          </w:p>
        </w:tc>
      </w:tr>
      <w:tr>
        <w:tc>
          <w:tcPr>
            <w:tcW w:type="dxa" w:w="1587"/>
            <w:shd w:val="clear" w:fill="F8F9FA"/>
          </w:tcPr>
          <w:p>
            <w:pPr>
              <w:spacing w:after="20" w:before="20"/>
            </w:pPr>
            <w:r/>
            <w:r>
              <w:rPr>
                <w:rFonts w:ascii="Open Sans" w:hAnsi="Open Sans" w:eastAsia="Open Sans"/>
                <w:b w:val="0"/>
                <w:i w:val="0"/>
                <w:color w:val="222222"/>
                <w:sz w:val="17"/>
              </w:rPr>
              <w:t>Saldo ($ MM)</w:t>
            </w:r>
          </w:p>
        </w:tc>
        <w:tc>
          <w:tcPr>
            <w:tcW w:type="dxa" w:w="1077"/>
            <w:shd w:val="clear" w:fill="F8F9FA"/>
          </w:tcPr>
          <w:p>
            <w:pPr>
              <w:spacing w:after="20" w:before="20"/>
              <w:jc w:val="right"/>
            </w:pPr>
            <w:r/>
            <w:r>
              <w:rPr>
                <w:rFonts w:ascii="Open Sans" w:hAnsi="Open Sans" w:eastAsia="Open Sans"/>
                <w:b w:val="0"/>
                <w:i w:val="0"/>
                <w:color w:val="222222"/>
                <w:sz w:val="17"/>
              </w:rPr>
              <w:t>3.052,2</w:t>
            </w:r>
          </w:p>
        </w:tc>
        <w:tc>
          <w:tcPr>
            <w:tcW w:type="dxa" w:w="1077"/>
            <w:shd w:val="clear" w:fill="F8F9FA"/>
          </w:tcPr>
          <w:p>
            <w:pPr>
              <w:spacing w:after="20" w:before="20"/>
              <w:jc w:val="right"/>
            </w:pPr>
            <w:r/>
            <w:r>
              <w:rPr>
                <w:rFonts w:ascii="Open Sans" w:hAnsi="Open Sans" w:eastAsia="Open Sans"/>
                <w:b w:val="0"/>
                <w:i w:val="0"/>
                <w:color w:val="222222"/>
                <w:sz w:val="17"/>
              </w:rPr>
              <w:t>3.135,6</w:t>
            </w:r>
          </w:p>
        </w:tc>
        <w:tc>
          <w:tcPr>
            <w:tcW w:type="dxa" w:w="1077"/>
            <w:shd w:val="clear" w:fill="F8F9FA"/>
          </w:tcPr>
          <w:p>
            <w:pPr>
              <w:spacing w:after="20" w:before="20"/>
              <w:jc w:val="right"/>
            </w:pPr>
            <w:r/>
            <w:r>
              <w:rPr>
                <w:rFonts w:ascii="Open Sans" w:hAnsi="Open Sans" w:eastAsia="Open Sans"/>
                <w:b w:val="0"/>
                <w:i w:val="0"/>
                <w:color w:val="222222"/>
                <w:sz w:val="17"/>
              </w:rPr>
              <w:t>1.893,5</w:t>
            </w:r>
          </w:p>
        </w:tc>
        <w:tc>
          <w:tcPr>
            <w:tcW w:type="dxa" w:w="1077"/>
            <w:shd w:val="clear" w:fill="F8F9FA"/>
          </w:tcPr>
          <w:p>
            <w:pPr>
              <w:spacing w:after="20" w:before="20"/>
              <w:jc w:val="right"/>
            </w:pPr>
            <w:r/>
            <w:r>
              <w:rPr>
                <w:rFonts w:ascii="Open Sans" w:hAnsi="Open Sans" w:eastAsia="Open Sans"/>
                <w:b w:val="0"/>
                <w:i w:val="0"/>
                <w:color w:val="222222"/>
                <w:sz w:val="17"/>
              </w:rPr>
              <w:t>1.470,6</w:t>
            </w:r>
          </w:p>
        </w:tc>
        <w:tc>
          <w:tcPr>
            <w:tcW w:type="dxa" w:w="1077"/>
            <w:shd w:val="clear" w:fill="F8F9FA"/>
          </w:tcPr>
          <w:p>
            <w:pPr>
              <w:spacing w:after="20" w:before="20"/>
              <w:jc w:val="right"/>
            </w:pPr>
            <w:r/>
            <w:r>
              <w:rPr>
                <w:rFonts w:ascii="Open Sans" w:hAnsi="Open Sans" w:eastAsia="Open Sans"/>
                <w:b w:val="0"/>
                <w:i w:val="0"/>
                <w:color w:val="222222"/>
                <w:sz w:val="17"/>
              </w:rPr>
              <w:t>982,1</w:t>
            </w:r>
          </w:p>
        </w:tc>
        <w:tc>
          <w:tcPr>
            <w:tcW w:type="dxa" w:w="1077"/>
            <w:shd w:val="clear" w:fill="F8F9FA"/>
          </w:tcPr>
          <w:p>
            <w:pPr>
              <w:spacing w:after="20" w:before="20"/>
              <w:jc w:val="right"/>
            </w:pPr>
            <w:r/>
            <w:r>
              <w:rPr>
                <w:rFonts w:ascii="Open Sans" w:hAnsi="Open Sans" w:eastAsia="Open Sans"/>
                <w:b w:val="0"/>
                <w:i w:val="0"/>
                <w:color w:val="222222"/>
                <w:sz w:val="17"/>
              </w:rPr>
              <w:t>1.042,1</w:t>
            </w:r>
          </w:p>
        </w:tc>
        <w:tc>
          <w:tcPr>
            <w:tcW w:type="dxa" w:w="1077"/>
            <w:shd w:val="clear" w:fill="F8F9FA"/>
          </w:tcPr>
          <w:p>
            <w:pPr>
              <w:spacing w:after="20" w:before="20"/>
              <w:jc w:val="right"/>
            </w:pPr>
            <w:r/>
            <w:r>
              <w:rPr>
                <w:rFonts w:ascii="Open Sans" w:hAnsi="Open Sans" w:eastAsia="Open Sans"/>
                <w:b w:val="0"/>
                <w:i w:val="0"/>
                <w:color w:val="222222"/>
                <w:sz w:val="17"/>
              </w:rPr>
              <w:t>4.951,2</w:t>
            </w:r>
          </w:p>
        </w:tc>
      </w:tr>
    </w:tbl>
    <w:p>
      <w:r>
        <w:br w:type="page"/>
      </w:r>
    </w:p>
    <w:p>
      <w:pPr>
        <w:spacing w:before="140" w:after="60"/>
      </w:pPr>
      <w:r>
        <w:rPr>
          <w:rFonts w:ascii="Montserrat" w:hAnsi="Montserrat" w:eastAsia="Montserrat"/>
          <w:b/>
          <w:i w:val="0"/>
          <w:color w:val="0C2340"/>
          <w:sz w:val="25"/>
        </w:rPr>
        <w:t>4.  Priorización de la gestión</w:t>
      </w:r>
    </w:p>
    <w:p>
      <w:pPr>
        <w:spacing w:after="80" w:before="0" w:line="264" w:lineRule="auto"/>
      </w:pPr>
      <w:r>
        <w:rPr>
          <w:rFonts w:ascii="Open Sans" w:hAnsi="Open Sans" w:eastAsia="Open Sans"/>
          <w:b w:val="0"/>
          <w:i w:val="0"/>
          <w:color w:val="222222"/>
          <w:sz w:val="20"/>
        </w:rPr>
        <w:t>La meta se reparte en cuatro cuartiles por saldo acumulado y antigüedad de vencimiento: Q1 agrupa lo más vencido y Q4 lo más reciente. Cada cuartil concentra exactamente el 25% del saldo, de modo que las cuatro cargas de trabajo son equivalentes.</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964"/>
            <w:shd w:val="clear" w:fill="0C2340"/>
          </w:tcPr>
          <w:p>
            <w:pPr>
              <w:spacing w:after="20" w:before="20"/>
            </w:pPr>
            <w:r/>
            <w:r>
              <w:rPr>
                <w:rFonts w:ascii="Montserrat" w:hAnsi="Montserrat" w:eastAsia="Montserrat"/>
                <w:b/>
                <w:i w:val="0"/>
                <w:color w:val="FFFFFF"/>
                <w:sz w:val="17"/>
              </w:rPr>
              <w:t>Cuartil</w:t>
            </w:r>
          </w:p>
        </w:tc>
        <w:tc>
          <w:tcPr>
            <w:tcW w:type="dxa" w:w="1361"/>
            <w:shd w:val="clear" w:fill="0C2340"/>
          </w:tcPr>
          <w:p>
            <w:pPr>
              <w:spacing w:after="20" w:before="20"/>
              <w:jc w:val="right"/>
            </w:pPr>
            <w:r/>
            <w:r>
              <w:rPr>
                <w:rFonts w:ascii="Montserrat" w:hAnsi="Montserrat" w:eastAsia="Montserrat"/>
                <w:b/>
                <w:i w:val="0"/>
                <w:color w:val="FFFFFF"/>
                <w:sz w:val="17"/>
              </w:rPr>
              <w:t>Obligaciones</w:t>
            </w:r>
          </w:p>
        </w:tc>
        <w:tc>
          <w:tcPr>
            <w:tcW w:type="dxa" w:w="1361"/>
            <w:shd w:val="clear" w:fill="0C2340"/>
          </w:tcPr>
          <w:p>
            <w:pPr>
              <w:spacing w:after="20" w:before="20"/>
              <w:jc w:val="right"/>
            </w:pPr>
            <w:r/>
            <w:r>
              <w:rPr>
                <w:rFonts w:ascii="Montserrat" w:hAnsi="Montserrat" w:eastAsia="Montserrat"/>
                <w:b/>
                <w:i w:val="0"/>
                <w:color w:val="FFFFFF"/>
                <w:sz w:val="17"/>
              </w:rPr>
              <w:t>Saldo ($ MM)</w:t>
            </w:r>
          </w:p>
        </w:tc>
        <w:tc>
          <w:tcPr>
            <w:tcW w:type="dxa" w:w="907"/>
            <w:shd w:val="clear" w:fill="0C2340"/>
          </w:tcPr>
          <w:p>
            <w:pPr>
              <w:spacing w:after="20" w:before="20"/>
              <w:jc w:val="right"/>
            </w:pPr>
            <w:r/>
            <w:r>
              <w:rPr>
                <w:rFonts w:ascii="Montserrat" w:hAnsi="Montserrat" w:eastAsia="Montserrat"/>
                <w:b/>
                <w:i w:val="0"/>
                <w:color w:val="FFFFFF"/>
                <w:sz w:val="17"/>
              </w:rPr>
              <w:t>% saldo</w:t>
            </w:r>
          </w:p>
        </w:tc>
        <w:tc>
          <w:tcPr>
            <w:tcW w:type="dxa" w:w="4706"/>
            <w:shd w:val="clear" w:fill="0C2340"/>
          </w:tcPr>
          <w:p>
            <w:pPr>
              <w:spacing w:after="20" w:before="20"/>
            </w:pPr>
            <w:r/>
            <w:r>
              <w:rPr>
                <w:rFonts w:ascii="Montserrat" w:hAnsi="Montserrat" w:eastAsia="Montserrat"/>
                <w:b/>
                <w:i w:val="0"/>
                <w:color w:val="FFFFFF"/>
                <w:sz w:val="17"/>
              </w:rPr>
              <w:t>Lectura de gestión</w:t>
            </w:r>
          </w:p>
        </w:tc>
      </w:tr>
      <w:tr>
        <w:tc>
          <w:tcPr>
            <w:tcW w:type="dxa" w:w="964"/>
          </w:tcPr>
          <w:p>
            <w:pPr>
              <w:spacing w:after="20" w:before="20"/>
            </w:pPr>
            <w:r/>
            <w:r>
              <w:rPr>
                <w:rFonts w:ascii="Open Sans" w:hAnsi="Open Sans" w:eastAsia="Open Sans"/>
                <w:b w:val="0"/>
                <w:i w:val="0"/>
                <w:color w:val="222222"/>
                <w:sz w:val="17"/>
              </w:rPr>
              <w:t>Q1</w:t>
            </w:r>
          </w:p>
        </w:tc>
        <w:tc>
          <w:tcPr>
            <w:tcW w:type="dxa" w:w="1361"/>
          </w:tcPr>
          <w:p>
            <w:pPr>
              <w:spacing w:after="20" w:before="20"/>
              <w:jc w:val="right"/>
            </w:pPr>
            <w:r/>
            <w:r>
              <w:rPr>
                <w:rFonts w:ascii="Open Sans" w:hAnsi="Open Sans" w:eastAsia="Open Sans"/>
                <w:b w:val="0"/>
                <w:i w:val="0"/>
                <w:color w:val="222222"/>
                <w:sz w:val="17"/>
              </w:rPr>
              <w:t>12.471</w:t>
            </w:r>
          </w:p>
        </w:tc>
        <w:tc>
          <w:tcPr>
            <w:tcW w:type="dxa" w:w="1361"/>
          </w:tcPr>
          <w:p>
            <w:pPr>
              <w:spacing w:after="20" w:before="20"/>
              <w:jc w:val="right"/>
            </w:pPr>
            <w:r/>
            <w:r>
              <w:rPr>
                <w:rFonts w:ascii="Open Sans" w:hAnsi="Open Sans" w:eastAsia="Open Sans"/>
                <w:b w:val="0"/>
                <w:i w:val="0"/>
                <w:color w:val="222222"/>
                <w:sz w:val="17"/>
              </w:rPr>
              <w:t>4.131,4</w:t>
            </w:r>
          </w:p>
        </w:tc>
        <w:tc>
          <w:tcPr>
            <w:tcW w:type="dxa" w:w="907"/>
          </w:tcPr>
          <w:p>
            <w:pPr>
              <w:spacing w:after="20" w:before="20"/>
              <w:jc w:val="right"/>
            </w:pPr>
            <w:r/>
            <w:r>
              <w:rPr>
                <w:rFonts w:ascii="Open Sans" w:hAnsi="Open Sans" w:eastAsia="Open Sans"/>
                <w:b w:val="0"/>
                <w:i w:val="0"/>
                <w:color w:val="222222"/>
                <w:sz w:val="17"/>
              </w:rPr>
              <w:t>25,0%</w:t>
            </w:r>
          </w:p>
        </w:tc>
        <w:tc>
          <w:tcPr>
            <w:tcW w:type="dxa" w:w="4706"/>
          </w:tcPr>
          <w:p>
            <w:pPr>
              <w:spacing w:after="20" w:before="20"/>
            </w:pPr>
            <w:r/>
            <w:r>
              <w:rPr>
                <w:rFonts w:ascii="Open Sans" w:hAnsi="Open Sans" w:eastAsia="Open Sans"/>
                <w:b w:val="0"/>
                <w:i w:val="0"/>
                <w:color w:val="222222"/>
                <w:sz w:val="17"/>
              </w:rPr>
              <w:t>Mayor antigüedad — prioridad de contacto</w:t>
            </w:r>
          </w:p>
        </w:tc>
      </w:tr>
      <w:tr>
        <w:tc>
          <w:tcPr>
            <w:tcW w:type="dxa" w:w="964"/>
            <w:shd w:val="clear" w:fill="F8F9FA"/>
          </w:tcPr>
          <w:p>
            <w:pPr>
              <w:spacing w:after="20" w:before="20"/>
            </w:pPr>
            <w:r/>
            <w:r>
              <w:rPr>
                <w:rFonts w:ascii="Open Sans" w:hAnsi="Open Sans" w:eastAsia="Open Sans"/>
                <w:b w:val="0"/>
                <w:i w:val="0"/>
                <w:color w:val="222222"/>
                <w:sz w:val="17"/>
              </w:rPr>
              <w:t>Q2</w:t>
            </w:r>
          </w:p>
        </w:tc>
        <w:tc>
          <w:tcPr>
            <w:tcW w:type="dxa" w:w="1361"/>
            <w:shd w:val="clear" w:fill="F8F9FA"/>
          </w:tcPr>
          <w:p>
            <w:pPr>
              <w:spacing w:after="20" w:before="20"/>
              <w:jc w:val="right"/>
            </w:pPr>
            <w:r/>
            <w:r>
              <w:rPr>
                <w:rFonts w:ascii="Open Sans" w:hAnsi="Open Sans" w:eastAsia="Open Sans"/>
                <w:b w:val="0"/>
                <w:i w:val="0"/>
                <w:color w:val="222222"/>
                <w:sz w:val="17"/>
              </w:rPr>
              <w:t>13.653</w:t>
            </w:r>
          </w:p>
        </w:tc>
        <w:tc>
          <w:tcPr>
            <w:tcW w:type="dxa" w:w="1361"/>
            <w:shd w:val="clear" w:fill="F8F9FA"/>
          </w:tcPr>
          <w:p>
            <w:pPr>
              <w:spacing w:after="20" w:before="20"/>
              <w:jc w:val="right"/>
            </w:pPr>
            <w:r/>
            <w:r>
              <w:rPr>
                <w:rFonts w:ascii="Open Sans" w:hAnsi="Open Sans" w:eastAsia="Open Sans"/>
                <w:b w:val="0"/>
                <w:i w:val="0"/>
                <w:color w:val="222222"/>
                <w:sz w:val="17"/>
              </w:rPr>
              <w:t>4.132,1</w:t>
            </w:r>
          </w:p>
        </w:tc>
        <w:tc>
          <w:tcPr>
            <w:tcW w:type="dxa" w:w="907"/>
            <w:shd w:val="clear" w:fill="F8F9FA"/>
          </w:tcPr>
          <w:p>
            <w:pPr>
              <w:spacing w:after="20" w:before="20"/>
              <w:jc w:val="right"/>
            </w:pPr>
            <w:r/>
            <w:r>
              <w:rPr>
                <w:rFonts w:ascii="Open Sans" w:hAnsi="Open Sans" w:eastAsia="Open Sans"/>
                <w:b w:val="0"/>
                <w:i w:val="0"/>
                <w:color w:val="222222"/>
                <w:sz w:val="17"/>
              </w:rPr>
              <w:t>25,0%</w:t>
            </w:r>
          </w:p>
        </w:tc>
        <w:tc>
          <w:tcPr>
            <w:tcW w:type="dxa" w:w="4706"/>
            <w:shd w:val="clear" w:fill="F8F9FA"/>
          </w:tcPr>
          <w:p>
            <w:pPr>
              <w:spacing w:after="20" w:before="20"/>
            </w:pPr>
            <w:r/>
            <w:r>
              <w:rPr>
                <w:rFonts w:ascii="Open Sans" w:hAnsi="Open Sans" w:eastAsia="Open Sans"/>
                <w:b w:val="0"/>
                <w:i w:val="0"/>
                <w:color w:val="222222"/>
                <w:sz w:val="17"/>
              </w:rPr>
              <w:t>Mora consolidada</w:t>
            </w:r>
          </w:p>
        </w:tc>
      </w:tr>
      <w:tr>
        <w:tc>
          <w:tcPr>
            <w:tcW w:type="dxa" w:w="964"/>
          </w:tcPr>
          <w:p>
            <w:pPr>
              <w:spacing w:after="20" w:before="20"/>
            </w:pPr>
            <w:r/>
            <w:r>
              <w:rPr>
                <w:rFonts w:ascii="Open Sans" w:hAnsi="Open Sans" w:eastAsia="Open Sans"/>
                <w:b w:val="0"/>
                <w:i w:val="0"/>
                <w:color w:val="222222"/>
                <w:sz w:val="17"/>
              </w:rPr>
              <w:t>Q3</w:t>
            </w:r>
          </w:p>
        </w:tc>
        <w:tc>
          <w:tcPr>
            <w:tcW w:type="dxa" w:w="1361"/>
          </w:tcPr>
          <w:p>
            <w:pPr>
              <w:spacing w:after="20" w:before="20"/>
              <w:jc w:val="right"/>
            </w:pPr>
            <w:r/>
            <w:r>
              <w:rPr>
                <w:rFonts w:ascii="Open Sans" w:hAnsi="Open Sans" w:eastAsia="Open Sans"/>
                <w:b w:val="0"/>
                <w:i w:val="0"/>
                <w:color w:val="222222"/>
                <w:sz w:val="17"/>
              </w:rPr>
              <w:t>15.231</w:t>
            </w:r>
          </w:p>
        </w:tc>
        <w:tc>
          <w:tcPr>
            <w:tcW w:type="dxa" w:w="1361"/>
          </w:tcPr>
          <w:p>
            <w:pPr>
              <w:spacing w:after="20" w:before="20"/>
              <w:jc w:val="right"/>
            </w:pPr>
            <w:r/>
            <w:r>
              <w:rPr>
                <w:rFonts w:ascii="Open Sans" w:hAnsi="Open Sans" w:eastAsia="Open Sans"/>
                <w:b w:val="0"/>
                <w:i w:val="0"/>
                <w:color w:val="222222"/>
                <w:sz w:val="17"/>
              </w:rPr>
              <w:t>4.131,9</w:t>
            </w:r>
          </w:p>
        </w:tc>
        <w:tc>
          <w:tcPr>
            <w:tcW w:type="dxa" w:w="907"/>
          </w:tcPr>
          <w:p>
            <w:pPr>
              <w:spacing w:after="20" w:before="20"/>
              <w:jc w:val="right"/>
            </w:pPr>
            <w:r/>
            <w:r>
              <w:rPr>
                <w:rFonts w:ascii="Open Sans" w:hAnsi="Open Sans" w:eastAsia="Open Sans"/>
                <w:b w:val="0"/>
                <w:i w:val="0"/>
                <w:color w:val="222222"/>
                <w:sz w:val="17"/>
              </w:rPr>
              <w:t>25,0%</w:t>
            </w:r>
          </w:p>
        </w:tc>
        <w:tc>
          <w:tcPr>
            <w:tcW w:type="dxa" w:w="4706"/>
          </w:tcPr>
          <w:p>
            <w:pPr>
              <w:spacing w:after="20" w:before="20"/>
            </w:pPr>
            <w:r/>
            <w:r>
              <w:rPr>
                <w:rFonts w:ascii="Open Sans" w:hAnsi="Open Sans" w:eastAsia="Open Sans"/>
                <w:b w:val="0"/>
                <w:i w:val="0"/>
                <w:color w:val="222222"/>
                <w:sz w:val="17"/>
              </w:rPr>
              <w:t>Mora intermedia</w:t>
            </w:r>
          </w:p>
        </w:tc>
      </w:tr>
      <w:tr>
        <w:tc>
          <w:tcPr>
            <w:tcW w:type="dxa" w:w="964"/>
            <w:shd w:val="clear" w:fill="F8F9FA"/>
          </w:tcPr>
          <w:p>
            <w:pPr>
              <w:spacing w:after="20" w:before="20"/>
            </w:pPr>
            <w:r/>
            <w:r>
              <w:rPr>
                <w:rFonts w:ascii="Open Sans" w:hAnsi="Open Sans" w:eastAsia="Open Sans"/>
                <w:b w:val="0"/>
                <w:i w:val="0"/>
                <w:color w:val="222222"/>
                <w:sz w:val="17"/>
              </w:rPr>
              <w:t>Q4</w:t>
            </w:r>
          </w:p>
        </w:tc>
        <w:tc>
          <w:tcPr>
            <w:tcW w:type="dxa" w:w="1361"/>
            <w:shd w:val="clear" w:fill="F8F9FA"/>
          </w:tcPr>
          <w:p>
            <w:pPr>
              <w:spacing w:after="20" w:before="20"/>
              <w:jc w:val="right"/>
            </w:pPr>
            <w:r/>
            <w:r>
              <w:rPr>
                <w:rFonts w:ascii="Open Sans" w:hAnsi="Open Sans" w:eastAsia="Open Sans"/>
                <w:b w:val="0"/>
                <w:i w:val="0"/>
                <w:color w:val="222222"/>
                <w:sz w:val="17"/>
              </w:rPr>
              <w:t>14.914</w:t>
            </w:r>
          </w:p>
        </w:tc>
        <w:tc>
          <w:tcPr>
            <w:tcW w:type="dxa" w:w="1361"/>
            <w:shd w:val="clear" w:fill="F8F9FA"/>
          </w:tcPr>
          <w:p>
            <w:pPr>
              <w:spacing w:after="20" w:before="20"/>
              <w:jc w:val="right"/>
            </w:pPr>
            <w:r/>
            <w:r>
              <w:rPr>
                <w:rFonts w:ascii="Open Sans" w:hAnsi="Open Sans" w:eastAsia="Open Sans"/>
                <w:b w:val="0"/>
                <w:i w:val="0"/>
                <w:color w:val="222222"/>
                <w:sz w:val="17"/>
              </w:rPr>
              <w:t>4.131,8</w:t>
            </w:r>
          </w:p>
        </w:tc>
        <w:tc>
          <w:tcPr>
            <w:tcW w:type="dxa" w:w="907"/>
            <w:shd w:val="clear" w:fill="F8F9FA"/>
          </w:tcPr>
          <w:p>
            <w:pPr>
              <w:spacing w:after="20" w:before="20"/>
              <w:jc w:val="right"/>
            </w:pPr>
            <w:r/>
            <w:r>
              <w:rPr>
                <w:rFonts w:ascii="Open Sans" w:hAnsi="Open Sans" w:eastAsia="Open Sans"/>
                <w:b w:val="0"/>
                <w:i w:val="0"/>
                <w:color w:val="222222"/>
                <w:sz w:val="17"/>
              </w:rPr>
              <w:t>25,0%</w:t>
            </w:r>
          </w:p>
        </w:tc>
        <w:tc>
          <w:tcPr>
            <w:tcW w:type="dxa" w:w="4706"/>
            <w:shd w:val="clear" w:fill="F8F9FA"/>
          </w:tcPr>
          <w:p>
            <w:pPr>
              <w:spacing w:after="20" w:before="20"/>
            </w:pPr>
            <w:r/>
            <w:r>
              <w:rPr>
                <w:rFonts w:ascii="Open Sans" w:hAnsi="Open Sans" w:eastAsia="Open Sans"/>
                <w:b w:val="0"/>
                <w:i w:val="0"/>
                <w:color w:val="222222"/>
                <w:sz w:val="17"/>
              </w:rPr>
              <w:t>Vencimiento reciente — mayor recuperabilidad</w:t>
            </w:r>
          </w:p>
        </w:tc>
      </w:tr>
    </w:tbl>
    <w:p>
      <w:pPr>
        <w:spacing w:after="60" w:before="140" w:line="264" w:lineRule="auto"/>
      </w:pPr>
      <w:r>
        <w:rPr>
          <w:rFonts w:ascii="Montserrat" w:hAnsi="Montserrat" w:eastAsia="Montserrat"/>
          <w:b/>
          <w:i w:val="0"/>
          <w:color w:val="1B365D"/>
          <w:sz w:val="20"/>
        </w:rPr>
        <w:t>Clasificación académica del deudor</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4195"/>
            <w:shd w:val="clear" w:fill="0C2340"/>
          </w:tcPr>
          <w:p>
            <w:pPr>
              <w:spacing w:after="20" w:before="20"/>
            </w:pPr>
            <w:r/>
            <w:r>
              <w:rPr>
                <w:rFonts w:ascii="Montserrat" w:hAnsi="Montserrat" w:eastAsia="Montserrat"/>
                <w:b/>
                <w:i w:val="0"/>
                <w:color w:val="FFFFFF"/>
                <w:sz w:val="17"/>
              </w:rPr>
              <w:t>Marca académica</w:t>
            </w:r>
          </w:p>
        </w:tc>
        <w:tc>
          <w:tcPr>
            <w:tcW w:type="dxa" w:w="1417"/>
            <w:shd w:val="clear" w:fill="0C2340"/>
          </w:tcPr>
          <w:p>
            <w:pPr>
              <w:spacing w:after="20" w:before="20"/>
              <w:jc w:val="right"/>
            </w:pPr>
            <w:r/>
            <w:r>
              <w:rPr>
                <w:rFonts w:ascii="Montserrat" w:hAnsi="Montserrat" w:eastAsia="Montserrat"/>
                <w:b/>
                <w:i w:val="0"/>
                <w:color w:val="FFFFFF"/>
                <w:sz w:val="17"/>
              </w:rPr>
              <w:t>Obligaciones</w:t>
            </w:r>
          </w:p>
        </w:tc>
        <w:tc>
          <w:tcPr>
            <w:tcW w:type="dxa" w:w="1361"/>
            <w:shd w:val="clear" w:fill="0C2340"/>
          </w:tcPr>
          <w:p>
            <w:pPr>
              <w:spacing w:after="20" w:before="20"/>
              <w:jc w:val="right"/>
            </w:pPr>
            <w:r/>
            <w:r>
              <w:rPr>
                <w:rFonts w:ascii="Montserrat" w:hAnsi="Montserrat" w:eastAsia="Montserrat"/>
                <w:b/>
                <w:i w:val="0"/>
                <w:color w:val="FFFFFF"/>
                <w:sz w:val="17"/>
              </w:rPr>
              <w:t>Estudiantes</w:t>
            </w:r>
          </w:p>
        </w:tc>
        <w:tc>
          <w:tcPr>
            <w:tcW w:type="dxa" w:w="1417"/>
            <w:shd w:val="clear" w:fill="0C2340"/>
          </w:tcPr>
          <w:p>
            <w:pPr>
              <w:spacing w:after="20" w:before="20"/>
              <w:jc w:val="right"/>
            </w:pPr>
            <w:r/>
            <w:r>
              <w:rPr>
                <w:rFonts w:ascii="Montserrat" w:hAnsi="Montserrat" w:eastAsia="Montserrat"/>
                <w:b/>
                <w:i w:val="0"/>
                <w:color w:val="FFFFFF"/>
                <w:sz w:val="17"/>
              </w:rPr>
              <w:t>Saldo ($ MM)</w:t>
            </w:r>
          </w:p>
        </w:tc>
        <w:tc>
          <w:tcPr>
            <w:tcW w:type="dxa" w:w="907"/>
            <w:shd w:val="clear" w:fill="0C2340"/>
          </w:tcPr>
          <w:p>
            <w:pPr>
              <w:spacing w:after="20" w:before="20"/>
              <w:jc w:val="right"/>
            </w:pPr>
            <w:r/>
            <w:r>
              <w:rPr>
                <w:rFonts w:ascii="Montserrat" w:hAnsi="Montserrat" w:eastAsia="Montserrat"/>
                <w:b/>
                <w:i w:val="0"/>
                <w:color w:val="FFFFFF"/>
                <w:sz w:val="17"/>
              </w:rPr>
              <w:t>% saldo</w:t>
            </w:r>
          </w:p>
        </w:tc>
      </w:tr>
      <w:tr>
        <w:tc>
          <w:tcPr>
            <w:tcW w:type="dxa" w:w="4195"/>
          </w:tcPr>
          <w:p>
            <w:pPr>
              <w:spacing w:after="20" w:before="20"/>
            </w:pPr>
            <w:r/>
            <w:r>
              <w:rPr>
                <w:rFonts w:ascii="Open Sans" w:hAnsi="Open Sans" w:eastAsia="Open Sans"/>
                <w:b w:val="0"/>
                <w:i w:val="0"/>
                <w:color w:val="222222"/>
                <w:sz w:val="17"/>
              </w:rPr>
              <w:t>Periodo en curso</w:t>
            </w:r>
          </w:p>
        </w:tc>
        <w:tc>
          <w:tcPr>
            <w:tcW w:type="dxa" w:w="1417"/>
          </w:tcPr>
          <w:p>
            <w:pPr>
              <w:spacing w:after="20" w:before="20"/>
              <w:jc w:val="right"/>
            </w:pPr>
            <w:r/>
            <w:r>
              <w:rPr>
                <w:rFonts w:ascii="Open Sans" w:hAnsi="Open Sans" w:eastAsia="Open Sans"/>
                <w:b w:val="0"/>
                <w:i w:val="0"/>
                <w:color w:val="222222"/>
                <w:sz w:val="17"/>
              </w:rPr>
              <w:t>24.955</w:t>
            </w:r>
          </w:p>
        </w:tc>
        <w:tc>
          <w:tcPr>
            <w:tcW w:type="dxa" w:w="1361"/>
          </w:tcPr>
          <w:p>
            <w:pPr>
              <w:spacing w:after="20" w:before="20"/>
              <w:jc w:val="right"/>
            </w:pPr>
            <w:r/>
            <w:r>
              <w:rPr>
                <w:rFonts w:ascii="Open Sans" w:hAnsi="Open Sans" w:eastAsia="Open Sans"/>
                <w:b w:val="0"/>
                <w:i w:val="0"/>
                <w:color w:val="222222"/>
                <w:sz w:val="17"/>
              </w:rPr>
              <w:t>15.125</w:t>
            </w:r>
          </w:p>
        </w:tc>
        <w:tc>
          <w:tcPr>
            <w:tcW w:type="dxa" w:w="1417"/>
          </w:tcPr>
          <w:p>
            <w:pPr>
              <w:spacing w:after="20" w:before="20"/>
              <w:jc w:val="right"/>
            </w:pPr>
            <w:r/>
            <w:r>
              <w:rPr>
                <w:rFonts w:ascii="Open Sans" w:hAnsi="Open Sans" w:eastAsia="Open Sans"/>
                <w:b w:val="0"/>
                <w:i w:val="0"/>
                <w:color w:val="222222"/>
                <w:sz w:val="17"/>
              </w:rPr>
              <w:t>6.529,0</w:t>
            </w:r>
          </w:p>
        </w:tc>
        <w:tc>
          <w:tcPr>
            <w:tcW w:type="dxa" w:w="907"/>
          </w:tcPr>
          <w:p>
            <w:pPr>
              <w:spacing w:after="20" w:before="20"/>
              <w:jc w:val="right"/>
            </w:pPr>
            <w:r/>
            <w:r>
              <w:rPr>
                <w:rFonts w:ascii="Open Sans" w:hAnsi="Open Sans" w:eastAsia="Open Sans"/>
                <w:b w:val="0"/>
                <w:i w:val="0"/>
                <w:color w:val="222222"/>
                <w:sz w:val="17"/>
              </w:rPr>
              <w:t>39,5%</w:t>
            </w:r>
          </w:p>
        </w:tc>
      </w:tr>
      <w:tr>
        <w:tc>
          <w:tcPr>
            <w:tcW w:type="dxa" w:w="4195"/>
            <w:shd w:val="clear" w:fill="F8F9FA"/>
          </w:tcPr>
          <w:p>
            <w:pPr>
              <w:spacing w:after="20" w:before="20"/>
            </w:pPr>
            <w:r/>
            <w:r>
              <w:rPr>
                <w:rFonts w:ascii="Open Sans" w:hAnsi="Open Sans" w:eastAsia="Open Sans"/>
                <w:b w:val="0"/>
                <w:i w:val="0"/>
                <w:color w:val="222222"/>
                <w:sz w:val="17"/>
              </w:rPr>
              <w:t>Sin registro de clase</w:t>
            </w:r>
          </w:p>
        </w:tc>
        <w:tc>
          <w:tcPr>
            <w:tcW w:type="dxa" w:w="1417"/>
            <w:shd w:val="clear" w:fill="F8F9FA"/>
          </w:tcPr>
          <w:p>
            <w:pPr>
              <w:spacing w:after="20" w:before="20"/>
              <w:jc w:val="right"/>
            </w:pPr>
            <w:r/>
            <w:r>
              <w:rPr>
                <w:rFonts w:ascii="Open Sans" w:hAnsi="Open Sans" w:eastAsia="Open Sans"/>
                <w:b w:val="0"/>
                <w:i w:val="0"/>
                <w:color w:val="222222"/>
                <w:sz w:val="17"/>
              </w:rPr>
              <w:t>13.059</w:t>
            </w:r>
          </w:p>
        </w:tc>
        <w:tc>
          <w:tcPr>
            <w:tcW w:type="dxa" w:w="1361"/>
            <w:shd w:val="clear" w:fill="F8F9FA"/>
          </w:tcPr>
          <w:p>
            <w:pPr>
              <w:spacing w:after="20" w:before="20"/>
              <w:jc w:val="right"/>
            </w:pPr>
            <w:r/>
            <w:r>
              <w:rPr>
                <w:rFonts w:ascii="Open Sans" w:hAnsi="Open Sans" w:eastAsia="Open Sans"/>
                <w:b w:val="0"/>
                <w:i w:val="0"/>
                <w:color w:val="222222"/>
                <w:sz w:val="17"/>
              </w:rPr>
              <w:t>3.497</w:t>
            </w:r>
          </w:p>
        </w:tc>
        <w:tc>
          <w:tcPr>
            <w:tcW w:type="dxa" w:w="1417"/>
            <w:shd w:val="clear" w:fill="F8F9FA"/>
          </w:tcPr>
          <w:p>
            <w:pPr>
              <w:spacing w:after="20" w:before="20"/>
              <w:jc w:val="right"/>
            </w:pPr>
            <w:r/>
            <w:r>
              <w:rPr>
                <w:rFonts w:ascii="Open Sans" w:hAnsi="Open Sans" w:eastAsia="Open Sans"/>
                <w:b w:val="0"/>
                <w:i w:val="0"/>
                <w:color w:val="222222"/>
                <w:sz w:val="17"/>
              </w:rPr>
              <w:t>3.696,6</w:t>
            </w:r>
          </w:p>
        </w:tc>
        <w:tc>
          <w:tcPr>
            <w:tcW w:type="dxa" w:w="907"/>
            <w:shd w:val="clear" w:fill="F8F9FA"/>
          </w:tcPr>
          <w:p>
            <w:pPr>
              <w:spacing w:after="20" w:before="20"/>
              <w:jc w:val="right"/>
            </w:pPr>
            <w:r/>
            <w:r>
              <w:rPr>
                <w:rFonts w:ascii="Open Sans" w:hAnsi="Open Sans" w:eastAsia="Open Sans"/>
                <w:b w:val="0"/>
                <w:i w:val="0"/>
                <w:color w:val="222222"/>
                <w:sz w:val="17"/>
              </w:rPr>
              <w:t>22,4%</w:t>
            </w:r>
          </w:p>
        </w:tc>
      </w:tr>
      <w:tr>
        <w:tc>
          <w:tcPr>
            <w:tcW w:type="dxa" w:w="4195"/>
          </w:tcPr>
          <w:p>
            <w:pPr>
              <w:spacing w:after="20" w:before="20"/>
            </w:pPr>
            <w:r/>
            <w:r>
              <w:rPr>
                <w:rFonts w:ascii="Open Sans" w:hAnsi="Open Sans" w:eastAsia="Open Sans"/>
                <w:b w:val="0"/>
                <w:i w:val="0"/>
                <w:color w:val="222222"/>
                <w:sz w:val="17"/>
              </w:rPr>
              <w:t>Gestionable</w:t>
            </w:r>
          </w:p>
        </w:tc>
        <w:tc>
          <w:tcPr>
            <w:tcW w:type="dxa" w:w="1417"/>
          </w:tcPr>
          <w:p>
            <w:pPr>
              <w:spacing w:after="20" w:before="20"/>
              <w:jc w:val="right"/>
            </w:pPr>
            <w:r/>
            <w:r>
              <w:rPr>
                <w:rFonts w:ascii="Open Sans" w:hAnsi="Open Sans" w:eastAsia="Open Sans"/>
                <w:b w:val="0"/>
                <w:i w:val="0"/>
                <w:color w:val="222222"/>
                <w:sz w:val="17"/>
              </w:rPr>
              <w:t>10.195</w:t>
            </w:r>
          </w:p>
        </w:tc>
        <w:tc>
          <w:tcPr>
            <w:tcW w:type="dxa" w:w="1361"/>
          </w:tcPr>
          <w:p>
            <w:pPr>
              <w:spacing w:after="20" w:before="20"/>
              <w:jc w:val="right"/>
            </w:pPr>
            <w:r/>
            <w:r>
              <w:rPr>
                <w:rFonts w:ascii="Open Sans" w:hAnsi="Open Sans" w:eastAsia="Open Sans"/>
                <w:b w:val="0"/>
                <w:i w:val="0"/>
                <w:color w:val="222222"/>
                <w:sz w:val="17"/>
              </w:rPr>
              <w:t>3.396</w:t>
            </w:r>
          </w:p>
        </w:tc>
        <w:tc>
          <w:tcPr>
            <w:tcW w:type="dxa" w:w="1417"/>
          </w:tcPr>
          <w:p>
            <w:pPr>
              <w:spacing w:after="20" w:before="20"/>
              <w:jc w:val="right"/>
            </w:pPr>
            <w:r/>
            <w:r>
              <w:rPr>
                <w:rFonts w:ascii="Open Sans" w:hAnsi="Open Sans" w:eastAsia="Open Sans"/>
                <w:b w:val="0"/>
                <w:i w:val="0"/>
                <w:color w:val="222222"/>
                <w:sz w:val="17"/>
              </w:rPr>
              <w:t>3.533,0</w:t>
            </w:r>
          </w:p>
        </w:tc>
        <w:tc>
          <w:tcPr>
            <w:tcW w:type="dxa" w:w="907"/>
          </w:tcPr>
          <w:p>
            <w:pPr>
              <w:spacing w:after="20" w:before="20"/>
              <w:jc w:val="right"/>
            </w:pPr>
            <w:r/>
            <w:r>
              <w:rPr>
                <w:rFonts w:ascii="Open Sans" w:hAnsi="Open Sans" w:eastAsia="Open Sans"/>
                <w:b w:val="0"/>
                <w:i w:val="0"/>
                <w:color w:val="222222"/>
                <w:sz w:val="17"/>
              </w:rPr>
              <w:t>21,4%</w:t>
            </w:r>
          </w:p>
        </w:tc>
      </w:tr>
      <w:tr>
        <w:tc>
          <w:tcPr>
            <w:tcW w:type="dxa" w:w="4195"/>
            <w:shd w:val="clear" w:fill="F8F9FA"/>
          </w:tcPr>
          <w:p>
            <w:pPr>
              <w:spacing w:after="20" w:before="20"/>
            </w:pPr>
            <w:r/>
            <w:r>
              <w:rPr>
                <w:rFonts w:ascii="Open Sans" w:hAnsi="Open Sans" w:eastAsia="Open Sans"/>
                <w:b w:val="0"/>
                <w:i w:val="0"/>
                <w:color w:val="222222"/>
                <w:sz w:val="17"/>
              </w:rPr>
              <w:t>Periodo perdido, prioridad alta</w:t>
            </w:r>
          </w:p>
        </w:tc>
        <w:tc>
          <w:tcPr>
            <w:tcW w:type="dxa" w:w="1417"/>
            <w:shd w:val="clear" w:fill="F8F9FA"/>
          </w:tcPr>
          <w:p>
            <w:pPr>
              <w:spacing w:after="20" w:before="20"/>
              <w:jc w:val="right"/>
            </w:pPr>
            <w:r/>
            <w:r>
              <w:rPr>
                <w:rFonts w:ascii="Open Sans" w:hAnsi="Open Sans" w:eastAsia="Open Sans"/>
                <w:b w:val="0"/>
                <w:i w:val="0"/>
                <w:color w:val="222222"/>
                <w:sz w:val="17"/>
              </w:rPr>
              <w:t>7.949</w:t>
            </w:r>
          </w:p>
        </w:tc>
        <w:tc>
          <w:tcPr>
            <w:tcW w:type="dxa" w:w="1361"/>
            <w:shd w:val="clear" w:fill="F8F9FA"/>
          </w:tcPr>
          <w:p>
            <w:pPr>
              <w:spacing w:after="20" w:before="20"/>
              <w:jc w:val="right"/>
            </w:pPr>
            <w:r/>
            <w:r>
              <w:rPr>
                <w:rFonts w:ascii="Open Sans" w:hAnsi="Open Sans" w:eastAsia="Open Sans"/>
                <w:b w:val="0"/>
                <w:i w:val="0"/>
                <w:color w:val="222222"/>
                <w:sz w:val="17"/>
              </w:rPr>
              <w:t>2.432</w:t>
            </w:r>
          </w:p>
        </w:tc>
        <w:tc>
          <w:tcPr>
            <w:tcW w:type="dxa" w:w="1417"/>
            <w:shd w:val="clear" w:fill="F8F9FA"/>
          </w:tcPr>
          <w:p>
            <w:pPr>
              <w:spacing w:after="20" w:before="20"/>
              <w:jc w:val="right"/>
            </w:pPr>
            <w:r/>
            <w:r>
              <w:rPr>
                <w:rFonts w:ascii="Open Sans" w:hAnsi="Open Sans" w:eastAsia="Open Sans"/>
                <w:b w:val="0"/>
                <w:i w:val="0"/>
                <w:color w:val="222222"/>
                <w:sz w:val="17"/>
              </w:rPr>
              <w:t>2.729,5</w:t>
            </w:r>
          </w:p>
        </w:tc>
        <w:tc>
          <w:tcPr>
            <w:tcW w:type="dxa" w:w="907"/>
            <w:shd w:val="clear" w:fill="F8F9FA"/>
          </w:tcPr>
          <w:p>
            <w:pPr>
              <w:spacing w:after="20" w:before="20"/>
              <w:jc w:val="right"/>
            </w:pPr>
            <w:r/>
            <w:r>
              <w:rPr>
                <w:rFonts w:ascii="Open Sans" w:hAnsi="Open Sans" w:eastAsia="Open Sans"/>
                <w:b w:val="0"/>
                <w:i w:val="0"/>
                <w:color w:val="222222"/>
                <w:sz w:val="17"/>
              </w:rPr>
              <w:t>16,5%</w:t>
            </w:r>
          </w:p>
        </w:tc>
      </w:tr>
      <w:tr>
        <w:tc>
          <w:tcPr>
            <w:tcW w:type="dxa" w:w="4195"/>
          </w:tcPr>
          <w:p>
            <w:pPr>
              <w:spacing w:after="20" w:before="20"/>
            </w:pPr>
            <w:r/>
            <w:r>
              <w:rPr>
                <w:rFonts w:ascii="Open Sans" w:hAnsi="Open Sans" w:eastAsia="Open Sans"/>
                <w:b w:val="0"/>
                <w:i w:val="0"/>
                <w:color w:val="222222"/>
                <w:sz w:val="17"/>
              </w:rPr>
              <w:t>Periodo no ha iniciado</w:t>
            </w:r>
          </w:p>
        </w:tc>
        <w:tc>
          <w:tcPr>
            <w:tcW w:type="dxa" w:w="1417"/>
          </w:tcPr>
          <w:p>
            <w:pPr>
              <w:spacing w:after="20" w:before="20"/>
              <w:jc w:val="right"/>
            </w:pPr>
            <w:r/>
            <w:r>
              <w:rPr>
                <w:rFonts w:ascii="Open Sans" w:hAnsi="Open Sans" w:eastAsia="Open Sans"/>
                <w:b w:val="0"/>
                <w:i w:val="0"/>
                <w:color w:val="222222"/>
                <w:sz w:val="17"/>
              </w:rPr>
              <w:t>111</w:t>
            </w:r>
          </w:p>
        </w:tc>
        <w:tc>
          <w:tcPr>
            <w:tcW w:type="dxa" w:w="1361"/>
          </w:tcPr>
          <w:p>
            <w:pPr>
              <w:spacing w:after="20" w:before="20"/>
              <w:jc w:val="right"/>
            </w:pPr>
            <w:r/>
            <w:r>
              <w:rPr>
                <w:rFonts w:ascii="Open Sans" w:hAnsi="Open Sans" w:eastAsia="Open Sans"/>
                <w:b w:val="0"/>
                <w:i w:val="0"/>
                <w:color w:val="222222"/>
                <w:sz w:val="17"/>
              </w:rPr>
              <w:t>108</w:t>
            </w:r>
          </w:p>
        </w:tc>
        <w:tc>
          <w:tcPr>
            <w:tcW w:type="dxa" w:w="1417"/>
          </w:tcPr>
          <w:p>
            <w:pPr>
              <w:spacing w:after="20" w:before="20"/>
              <w:jc w:val="right"/>
            </w:pPr>
            <w:r/>
            <w:r>
              <w:rPr>
                <w:rFonts w:ascii="Open Sans" w:hAnsi="Open Sans" w:eastAsia="Open Sans"/>
                <w:b w:val="0"/>
                <w:i w:val="0"/>
                <w:color w:val="222222"/>
                <w:sz w:val="17"/>
              </w:rPr>
              <w:t>39,1</w:t>
            </w:r>
          </w:p>
        </w:tc>
        <w:tc>
          <w:tcPr>
            <w:tcW w:type="dxa" w:w="907"/>
          </w:tcPr>
          <w:p>
            <w:pPr>
              <w:spacing w:after="20" w:before="20"/>
              <w:jc w:val="right"/>
            </w:pPr>
            <w:r/>
            <w:r>
              <w:rPr>
                <w:rFonts w:ascii="Open Sans" w:hAnsi="Open Sans" w:eastAsia="Open Sans"/>
                <w:b w:val="0"/>
                <w:i w:val="0"/>
                <w:color w:val="222222"/>
                <w:sz w:val="17"/>
              </w:rPr>
              <w:t>0,2%</w:t>
            </w:r>
          </w:p>
        </w:tc>
      </w:tr>
    </w:tbl>
    <w:p>
      <w:pPr>
        <w:spacing w:after="60" w:before="0" w:line="264" w:lineRule="auto"/>
      </w:pPr>
      <w:r>
        <w:rPr>
          <w:rFonts w:ascii="Open Sans" w:hAnsi="Open Sans" w:eastAsia="Open Sans"/>
          <w:b w:val="0"/>
          <w:i/>
          <w:color w:val="898D8D"/>
          <w:sz w:val="17"/>
        </w:rPr>
        <w:t>7.535 obligaciones por $2.511,2 millones suman perfil crediticio adverso y deben escalarse dentro de su marca.</w:t>
      </w:r>
    </w:p>
    <w:p>
      <w:pPr>
        <w:spacing w:before="140" w:after="60"/>
      </w:pPr>
      <w:r>
        <w:rPr>
          <w:rFonts w:ascii="Montserrat" w:hAnsi="Montserrat" w:eastAsia="Montserrat"/>
          <w:b/>
          <w:i w:val="0"/>
          <w:color w:val="0C2340"/>
          <w:sz w:val="25"/>
        </w:rPr>
        <w:t>5.  Antigüedad de la mora y concentración</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1928"/>
            <w:shd w:val="clear" w:fill="0C2340"/>
          </w:tcPr>
          <w:p>
            <w:pPr>
              <w:spacing w:after="20" w:before="20"/>
            </w:pPr>
            <w:r/>
            <w:r>
              <w:rPr>
                <w:rFonts w:ascii="Montserrat" w:hAnsi="Montserrat" w:eastAsia="Montserrat"/>
                <w:b/>
                <w:i w:val="0"/>
                <w:color w:val="FFFFFF"/>
                <w:sz w:val="17"/>
              </w:rPr>
              <w:t>Rango de mora</w:t>
            </w:r>
          </w:p>
        </w:tc>
        <w:tc>
          <w:tcPr>
            <w:tcW w:type="dxa" w:w="1247"/>
            <w:shd w:val="clear" w:fill="0C2340"/>
          </w:tcPr>
          <w:p>
            <w:pPr>
              <w:spacing w:after="20" w:before="20"/>
              <w:jc w:val="right"/>
            </w:pPr>
            <w:r/>
            <w:r>
              <w:rPr>
                <w:rFonts w:ascii="Montserrat" w:hAnsi="Montserrat" w:eastAsia="Montserrat"/>
                <w:b/>
                <w:i w:val="0"/>
                <w:color w:val="FFFFFF"/>
                <w:sz w:val="17"/>
              </w:rPr>
              <w:t>1–30</w:t>
            </w:r>
          </w:p>
        </w:tc>
        <w:tc>
          <w:tcPr>
            <w:tcW w:type="dxa" w:w="1247"/>
            <w:shd w:val="clear" w:fill="0C2340"/>
          </w:tcPr>
          <w:p>
            <w:pPr>
              <w:spacing w:after="20" w:before="20"/>
              <w:jc w:val="right"/>
            </w:pPr>
            <w:r/>
            <w:r>
              <w:rPr>
                <w:rFonts w:ascii="Montserrat" w:hAnsi="Montserrat" w:eastAsia="Montserrat"/>
                <w:b/>
                <w:i w:val="0"/>
                <w:color w:val="FFFFFF"/>
                <w:sz w:val="17"/>
              </w:rPr>
              <w:t>31–60</w:t>
            </w:r>
          </w:p>
        </w:tc>
        <w:tc>
          <w:tcPr>
            <w:tcW w:type="dxa" w:w="1247"/>
            <w:shd w:val="clear" w:fill="0C2340"/>
          </w:tcPr>
          <w:p>
            <w:pPr>
              <w:spacing w:after="20" w:before="20"/>
              <w:jc w:val="right"/>
            </w:pPr>
            <w:r/>
            <w:r>
              <w:rPr>
                <w:rFonts w:ascii="Montserrat" w:hAnsi="Montserrat" w:eastAsia="Montserrat"/>
                <w:b/>
                <w:i w:val="0"/>
                <w:color w:val="FFFFFF"/>
                <w:sz w:val="17"/>
              </w:rPr>
              <w:t>61–90</w:t>
            </w:r>
          </w:p>
        </w:tc>
        <w:tc>
          <w:tcPr>
            <w:tcW w:type="dxa" w:w="1247"/>
            <w:shd w:val="clear" w:fill="0C2340"/>
          </w:tcPr>
          <w:p>
            <w:pPr>
              <w:spacing w:after="20" w:before="20"/>
              <w:jc w:val="right"/>
            </w:pPr>
            <w:r/>
            <w:r>
              <w:rPr>
                <w:rFonts w:ascii="Montserrat" w:hAnsi="Montserrat" w:eastAsia="Montserrat"/>
                <w:b/>
                <w:i w:val="0"/>
                <w:color w:val="FFFFFF"/>
                <w:sz w:val="17"/>
              </w:rPr>
              <w:t>91–120</w:t>
            </w:r>
          </w:p>
        </w:tc>
        <w:tc>
          <w:tcPr>
            <w:tcW w:type="dxa" w:w="1247"/>
            <w:shd w:val="clear" w:fill="0C2340"/>
          </w:tcPr>
          <w:p>
            <w:pPr>
              <w:spacing w:after="20" w:before="20"/>
              <w:jc w:val="right"/>
            </w:pPr>
            <w:r/>
            <w:r>
              <w:rPr>
                <w:rFonts w:ascii="Montserrat" w:hAnsi="Montserrat" w:eastAsia="Montserrat"/>
                <w:b/>
                <w:i w:val="0"/>
                <w:color w:val="FFFFFF"/>
                <w:sz w:val="17"/>
              </w:rPr>
              <w:t>121–150</w:t>
            </w:r>
          </w:p>
        </w:tc>
        <w:tc>
          <w:tcPr>
            <w:tcW w:type="dxa" w:w="1247"/>
            <w:shd w:val="clear" w:fill="0C2340"/>
          </w:tcPr>
          <w:p>
            <w:pPr>
              <w:spacing w:after="20" w:before="20"/>
              <w:jc w:val="right"/>
            </w:pPr>
            <w:r/>
            <w:r>
              <w:rPr>
                <w:rFonts w:ascii="Montserrat" w:hAnsi="Montserrat" w:eastAsia="Montserrat"/>
                <w:b/>
                <w:i w:val="0"/>
                <w:color w:val="FFFFFF"/>
                <w:sz w:val="17"/>
              </w:rPr>
              <w:t>151–360</w:t>
            </w:r>
          </w:p>
        </w:tc>
      </w:tr>
      <w:tr>
        <w:tc>
          <w:tcPr>
            <w:tcW w:type="dxa" w:w="1928"/>
          </w:tcPr>
          <w:p>
            <w:pPr>
              <w:spacing w:after="20" w:before="20"/>
            </w:pPr>
            <w:r/>
            <w:r>
              <w:rPr>
                <w:rFonts w:ascii="Open Sans" w:hAnsi="Open Sans" w:eastAsia="Open Sans"/>
                <w:b w:val="0"/>
                <w:i w:val="0"/>
                <w:color w:val="222222"/>
                <w:sz w:val="17"/>
              </w:rPr>
              <w:t>Obligaciones</w:t>
            </w:r>
          </w:p>
        </w:tc>
        <w:tc>
          <w:tcPr>
            <w:tcW w:type="dxa" w:w="1247"/>
          </w:tcPr>
          <w:p>
            <w:pPr>
              <w:spacing w:after="20" w:before="20"/>
              <w:jc w:val="right"/>
            </w:pPr>
            <w:r/>
            <w:r>
              <w:rPr>
                <w:rFonts w:ascii="Open Sans" w:hAnsi="Open Sans" w:eastAsia="Open Sans"/>
                <w:b w:val="0"/>
                <w:i w:val="0"/>
                <w:color w:val="222222"/>
                <w:sz w:val="17"/>
              </w:rPr>
              <w:t>15.432</w:t>
            </w:r>
          </w:p>
        </w:tc>
        <w:tc>
          <w:tcPr>
            <w:tcW w:type="dxa" w:w="1247"/>
          </w:tcPr>
          <w:p>
            <w:pPr>
              <w:spacing w:after="20" w:before="20"/>
              <w:jc w:val="right"/>
            </w:pPr>
            <w:r/>
            <w:r>
              <w:rPr>
                <w:rFonts w:ascii="Open Sans" w:hAnsi="Open Sans" w:eastAsia="Open Sans"/>
                <w:b w:val="0"/>
                <w:i w:val="0"/>
                <w:color w:val="222222"/>
                <w:sz w:val="17"/>
              </w:rPr>
              <w:t>8.811</w:t>
            </w:r>
          </w:p>
        </w:tc>
        <w:tc>
          <w:tcPr>
            <w:tcW w:type="dxa" w:w="1247"/>
          </w:tcPr>
          <w:p>
            <w:pPr>
              <w:spacing w:after="20" w:before="20"/>
              <w:jc w:val="right"/>
            </w:pPr>
            <w:r/>
            <w:r>
              <w:rPr>
                <w:rFonts w:ascii="Open Sans" w:hAnsi="Open Sans" w:eastAsia="Open Sans"/>
                <w:b w:val="0"/>
                <w:i w:val="0"/>
                <w:color w:val="222222"/>
                <w:sz w:val="17"/>
              </w:rPr>
              <w:t>9.531</w:t>
            </w:r>
          </w:p>
        </w:tc>
        <w:tc>
          <w:tcPr>
            <w:tcW w:type="dxa" w:w="1247"/>
          </w:tcPr>
          <w:p>
            <w:pPr>
              <w:spacing w:after="20" w:before="20"/>
              <w:jc w:val="right"/>
            </w:pPr>
            <w:r/>
            <w:r>
              <w:rPr>
                <w:rFonts w:ascii="Open Sans" w:hAnsi="Open Sans" w:eastAsia="Open Sans"/>
                <w:b w:val="0"/>
                <w:i w:val="0"/>
                <w:color w:val="222222"/>
                <w:sz w:val="17"/>
              </w:rPr>
              <w:t>8.695</w:t>
            </w:r>
          </w:p>
        </w:tc>
        <w:tc>
          <w:tcPr>
            <w:tcW w:type="dxa" w:w="1247"/>
          </w:tcPr>
          <w:p>
            <w:pPr>
              <w:spacing w:after="20" w:before="20"/>
              <w:jc w:val="right"/>
            </w:pPr>
            <w:r/>
            <w:r>
              <w:rPr>
                <w:rFonts w:ascii="Open Sans" w:hAnsi="Open Sans" w:eastAsia="Open Sans"/>
                <w:b w:val="0"/>
                <w:i w:val="0"/>
                <w:color w:val="222222"/>
                <w:sz w:val="17"/>
              </w:rPr>
              <w:t>6.949</w:t>
            </w:r>
          </w:p>
        </w:tc>
        <w:tc>
          <w:tcPr>
            <w:tcW w:type="dxa" w:w="1247"/>
          </w:tcPr>
          <w:p>
            <w:pPr>
              <w:spacing w:after="20" w:before="20"/>
              <w:jc w:val="right"/>
            </w:pPr>
            <w:r/>
            <w:r>
              <w:rPr>
                <w:rFonts w:ascii="Open Sans" w:hAnsi="Open Sans" w:eastAsia="Open Sans"/>
                <w:b w:val="0"/>
                <w:i w:val="0"/>
                <w:color w:val="222222"/>
                <w:sz w:val="17"/>
              </w:rPr>
              <w:t>6.846</w:t>
            </w:r>
          </w:p>
        </w:tc>
      </w:tr>
      <w:tr>
        <w:tc>
          <w:tcPr>
            <w:tcW w:type="dxa" w:w="1928"/>
            <w:shd w:val="clear" w:fill="F8F9FA"/>
          </w:tcPr>
          <w:p>
            <w:pPr>
              <w:spacing w:after="20" w:before="20"/>
            </w:pPr>
            <w:r/>
            <w:r>
              <w:rPr>
                <w:rFonts w:ascii="Open Sans" w:hAnsi="Open Sans" w:eastAsia="Open Sans"/>
                <w:b w:val="0"/>
                <w:i w:val="0"/>
                <w:color w:val="222222"/>
                <w:sz w:val="17"/>
              </w:rPr>
              <w:t>% del saldo</w:t>
            </w:r>
          </w:p>
        </w:tc>
        <w:tc>
          <w:tcPr>
            <w:tcW w:type="dxa" w:w="1247"/>
            <w:shd w:val="clear" w:fill="F8F9FA"/>
          </w:tcPr>
          <w:p>
            <w:pPr>
              <w:spacing w:after="20" w:before="20"/>
              <w:jc w:val="right"/>
            </w:pPr>
            <w:r/>
            <w:r>
              <w:rPr>
                <w:rFonts w:ascii="Open Sans" w:hAnsi="Open Sans" w:eastAsia="Open Sans"/>
                <w:b w:val="0"/>
                <w:i w:val="0"/>
                <w:color w:val="222222"/>
                <w:sz w:val="17"/>
              </w:rPr>
              <w:t>25,8%</w:t>
            </w:r>
          </w:p>
        </w:tc>
        <w:tc>
          <w:tcPr>
            <w:tcW w:type="dxa" w:w="1247"/>
            <w:shd w:val="clear" w:fill="F8F9FA"/>
          </w:tcPr>
          <w:p>
            <w:pPr>
              <w:spacing w:after="20" w:before="20"/>
              <w:jc w:val="right"/>
            </w:pPr>
            <w:r/>
            <w:r>
              <w:rPr>
                <w:rFonts w:ascii="Open Sans" w:hAnsi="Open Sans" w:eastAsia="Open Sans"/>
                <w:b w:val="0"/>
                <w:i w:val="0"/>
                <w:color w:val="222222"/>
                <w:sz w:val="17"/>
              </w:rPr>
              <w:t>13,6%</w:t>
            </w:r>
          </w:p>
        </w:tc>
        <w:tc>
          <w:tcPr>
            <w:tcW w:type="dxa" w:w="1247"/>
            <w:shd w:val="clear" w:fill="F8F9FA"/>
          </w:tcPr>
          <w:p>
            <w:pPr>
              <w:spacing w:after="20" w:before="20"/>
              <w:jc w:val="right"/>
            </w:pPr>
            <w:r/>
            <w:r>
              <w:rPr>
                <w:rFonts w:ascii="Open Sans" w:hAnsi="Open Sans" w:eastAsia="Open Sans"/>
                <w:b w:val="0"/>
                <w:i w:val="0"/>
                <w:color w:val="222222"/>
                <w:sz w:val="17"/>
              </w:rPr>
              <w:t>16,8%</w:t>
            </w:r>
          </w:p>
        </w:tc>
        <w:tc>
          <w:tcPr>
            <w:tcW w:type="dxa" w:w="1247"/>
            <w:shd w:val="clear" w:fill="F8F9FA"/>
          </w:tcPr>
          <w:p>
            <w:pPr>
              <w:spacing w:after="20" w:before="20"/>
              <w:jc w:val="right"/>
            </w:pPr>
            <w:r/>
            <w:r>
              <w:rPr>
                <w:rFonts w:ascii="Open Sans" w:hAnsi="Open Sans" w:eastAsia="Open Sans"/>
                <w:b w:val="0"/>
                <w:i w:val="0"/>
                <w:color w:val="222222"/>
                <w:sz w:val="17"/>
              </w:rPr>
              <w:t>16,3%</w:t>
            </w:r>
          </w:p>
        </w:tc>
        <w:tc>
          <w:tcPr>
            <w:tcW w:type="dxa" w:w="1247"/>
            <w:shd w:val="clear" w:fill="F8F9FA"/>
          </w:tcPr>
          <w:p>
            <w:pPr>
              <w:spacing w:after="20" w:before="20"/>
              <w:jc w:val="right"/>
            </w:pPr>
            <w:r/>
            <w:r>
              <w:rPr>
                <w:rFonts w:ascii="Open Sans" w:hAnsi="Open Sans" w:eastAsia="Open Sans"/>
                <w:b w:val="0"/>
                <w:i w:val="0"/>
                <w:color w:val="222222"/>
                <w:sz w:val="17"/>
              </w:rPr>
              <w:t>13,3%</w:t>
            </w:r>
          </w:p>
        </w:tc>
        <w:tc>
          <w:tcPr>
            <w:tcW w:type="dxa" w:w="1247"/>
            <w:shd w:val="clear" w:fill="F8F9FA"/>
          </w:tcPr>
          <w:p>
            <w:pPr>
              <w:spacing w:after="20" w:before="20"/>
              <w:jc w:val="right"/>
            </w:pPr>
            <w:r/>
            <w:r>
              <w:rPr>
                <w:rFonts w:ascii="Open Sans" w:hAnsi="Open Sans" w:eastAsia="Open Sans"/>
                <w:b w:val="0"/>
                <w:i w:val="0"/>
                <w:color w:val="222222"/>
                <w:sz w:val="17"/>
              </w:rPr>
              <w:t>14,2%</w:t>
            </w:r>
          </w:p>
        </w:tc>
      </w:tr>
    </w:tbl>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Sin cola larga: </w:t>
      </w:r>
      <w:r>
        <w:rPr>
          <w:rFonts w:ascii="Open Sans" w:hAnsi="Open Sans" w:eastAsia="Open Sans"/>
          <w:b w:val="0"/>
          <w:i w:val="0"/>
          <w:color w:val="222222"/>
          <w:sz w:val="19"/>
        </w:rPr>
        <w:t>solo 5 obligaciones superan los 360 días. La meta es cartera joven y por tanto recuperable; el esfuerzo debe concentrarse antes de que los tramos de 121 a 360 días sigan creciendo.</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Población y contacto: </w:t>
      </w:r>
      <w:r>
        <w:rPr>
          <w:rFonts w:ascii="Open Sans" w:hAnsi="Open Sans" w:eastAsia="Open Sans"/>
          <w:b w:val="0"/>
          <w:i w:val="0"/>
          <w:color w:val="222222"/>
          <w:sz w:val="19"/>
        </w:rPr>
        <w:t>el 99,4% de los deudores figura como estudiante activo: es población vigente, no desertores. La contactabilidad es completa en correo, con apenas 9 registros sin celular y 24 sin WhatsApp sobre 56.269.</w:t>
      </w:r>
    </w:p>
    <w:p>
      <w:pPr>
        <w:spacing w:before="140" w:after="60"/>
      </w:pPr>
      <w:r>
        <w:rPr>
          <w:rFonts w:ascii="Montserrat" w:hAnsi="Montserrat" w:eastAsia="Montserrat"/>
          <w:b/>
          <w:i w:val="0"/>
          <w:color w:val="0C2340"/>
          <w:sz w:val="25"/>
        </w:rPr>
        <w:t>6.  Observaciones de la Analítica para la Coordinación</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Calidad del dato académico: </w:t>
      </w:r>
      <w:r>
        <w:rPr>
          <w:rFonts w:ascii="Open Sans" w:hAnsi="Open Sans" w:eastAsia="Open Sans"/>
          <w:b w:val="0"/>
          <w:i w:val="0"/>
          <w:color w:val="222222"/>
          <w:sz w:val="19"/>
        </w:rPr>
        <w:t>30,4% de las obligaciones (5.009 estudiantes, $3.696,6 millones) registra promedio acumulado inferior a 1,55 y queda como «sin registro de clase». Son matriculados sin calificación; sugerimos validarlo con Registro y Control antes de definir el guion de cobro de ese grupo.</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Cobertura académica: </w:t>
      </w:r>
      <w:r>
        <w:rPr>
          <w:rFonts w:ascii="Open Sans" w:hAnsi="Open Sans" w:eastAsia="Open Sans"/>
          <w:b w:val="0"/>
          <w:i w:val="0"/>
          <w:color w:val="222222"/>
          <w:sz w:val="19"/>
        </w:rPr>
        <w:t>el 85,7% de las obligaciones tiene promedio acumulado; el resto se prioriza por calendario y conexión a plataforma.</w:t>
      </w:r>
    </w:p>
    <w:p>
      <w:pPr>
        <w:spacing w:after="60" w:line="259" w:lineRule="auto"/>
        <w:ind w:left="312"/>
      </w:pPr>
      <w:r>
        <w:rPr>
          <w:rFonts w:ascii="Open Sans" w:hAnsi="Open Sans" w:eastAsia="Open Sans"/>
          <w:b/>
          <w:i w:val="0"/>
          <w:color w:val="007A33"/>
          <w:sz w:val="20"/>
        </w:rPr>
        <w:t xml:space="preserve">▪  </w:t>
      </w:r>
      <w:r>
        <w:rPr>
          <w:rFonts w:ascii="Open Sans" w:hAnsi="Open Sans" w:eastAsia="Open Sans"/>
          <w:b/>
          <w:i w:val="0"/>
          <w:color w:val="1B365D"/>
          <w:sz w:val="19"/>
        </w:rPr>
        <w:t xml:space="preserve">Serie histórica: </w:t>
      </w:r>
      <w:r>
        <w:rPr>
          <w:rFonts w:ascii="Open Sans" w:hAnsi="Open Sans" w:eastAsia="Open Sans"/>
          <w:b w:val="0"/>
          <w:i w:val="0"/>
          <w:color w:val="222222"/>
          <w:sz w:val="19"/>
        </w:rPr>
        <w:t>la foto de respaldo de agosto se tomó el día 27 y no el día 1, por lo que ese primer punto no es comparable con el de septiembre; desde este mes la serie queda homogénea.</w:t>
      </w:r>
    </w:p>
    <w:p>
      <w:pPr>
        <w:spacing w:after="40" w:before="0" w:line="264" w:lineRule="auto"/>
      </w:pPr>
    </w:p>
    <w:p>
      <w:pPr>
        <w:spacing w:before="120" w:after="0"/>
        <w:ind w:left="85"/>
        <w:pBdr>
          <w:left w:val="single" w:sz="24" w:space="6" w:color="00859B"/>
        </w:pBdr>
        <w:shd w:val="clear" w:fill="F0F4F8"/>
      </w:pPr>
      <w:r>
        <w:rPr>
          <w:rFonts w:ascii="Montserrat" w:hAnsi="Montserrat" w:eastAsia="Montserrat"/>
          <w:b/>
          <w:i w:val="0"/>
          <w:color w:val="0C2340"/>
          <w:sz w:val="21"/>
        </w:rPr>
        <w:t>Recomendación</w:t>
      </w:r>
    </w:p>
    <w:p>
      <w:pPr>
        <w:spacing w:before="0" w:after="120" w:line="259" w:lineRule="auto"/>
        <w:ind w:left="85"/>
        <w:pBdr>
          <w:left w:val="single" w:sz="24" w:space="6" w:color="00859B"/>
        </w:pBdr>
        <w:shd w:val="clear" w:fill="F0F4F8"/>
      </w:pPr>
      <w:r>
        <w:rPr>
          <w:rFonts w:ascii="Open Sans" w:hAnsi="Open Sans" w:eastAsia="Open Sans"/>
          <w:b w:val="0"/>
          <w:i w:val="0"/>
          <w:color w:val="222222"/>
          <w:sz w:val="19"/>
        </w:rPr>
        <w:t>Priorizar el cruce entre Q1 y la marca «periodo perdido, prioridad alta» con perfil crediticio adverso: es el segmento donde coinciden mayor antigüedad, deterioro académico y deterioro crediticio, abordando la gestión por estudiante y no por obligación.</w:t>
      </w:r>
    </w:p>
    <w:p>
      <w:pPr>
        <w:spacing w:after="40" w:before="0" w:line="264" w:lineRule="auto"/>
      </w:pPr>
    </w:p>
    <w:p>
      <w:pPr>
        <w:spacing w:after="60" w:before="0" w:line="264" w:lineRule="auto"/>
      </w:pPr>
      <w:r>
        <w:rPr>
          <w:rFonts w:ascii="Open Sans" w:hAnsi="Open Sans" w:eastAsia="Open Sans"/>
          <w:b w:val="0"/>
          <w:i/>
          <w:color w:val="898D8D"/>
          <w:sz w:val="17"/>
        </w:rPr>
        <w:t>Fuente: [Financiera].[Cartera_Meta_Comercial_Historico], extracción del 2 de septiembre de 2026. Cifras en millones de pesos colombianos.</w:t>
      </w:r>
    </w:p>
    <w:sectPr w:rsidR="00FC693F" w:rsidRPr="0006063C" w:rsidSect="00034616">
      <w:headerReference w:type="default" r:id="rId9"/>
      <w:footerReference w:type="default" r:id="rId10"/>
      <w:pgSz w:w="12240" w:h="15840"/>
      <w:pgMar w:top="907" w:right="1134" w:bottom="73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Open Sans" w:hAnsi="Open Sans" w:eastAsia="Open Sans"/>
        <w:b w:val="0"/>
        <w:i w:val="0"/>
        <w:color w:val="898D8D"/>
        <w:sz w:val="16"/>
      </w:rPr>
      <w:t>Vicerrectoría de Servicios Digitales · Analítica financiera   |   VIGILADA MINEDUCACIÓN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pen Sans" w:hAnsi="Open Sans" w:eastAsia="Open Sans"/>
        <w:b w:val="0"/>
        <w:i w:val="0"/>
        <w:color w:val="898D8D"/>
        <w:sz w:val="16"/>
      </w:rPr>
      <w:t>Corporación Unificada Nacional de Educación Superior - CUN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eastAsia="Open San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