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9" w:lineRule="auto"/>
      </w:pPr>
      <w:r>
        <w:rPr>
          <w:rFonts w:ascii="Open Sans" w:hAnsi="Open Sans" w:eastAsia="Open Sans"/>
          <w:b w:val="0"/>
          <w:i w:val="0"/>
          <w:color w:val="222222"/>
          <w:sz w:val="18"/>
        </w:rPr>
        <w:t>07/09/2026</w:t>
      </w:r>
    </w:p>
    <w:tbl>
      <w:tblPr>
        <w:tblStyle w:val="TableGrid"/>
        <w:tblW w:type="auto" w:w="0"/>
        <w:tblLook w:firstColumn="1" w:firstRow="1" w:lastColumn="0" w:lastRow="0" w:noHBand="0" w:noVBand="1" w:val="04A0"/>
      </w:tblPr>
      <w:tblGrid>
        <w:gridCol w:w="4986"/>
        <w:gridCol w:w="4986"/>
      </w:tblGrid>
      <w:tr>
        <w:trPr>
          <w:cantSplit/>
          <w:tblHeader/>
        </w:trPr>
        <w:tc>
          <w:tcPr>
            <w:tcW w:type="dxa" w:w="4819"/>
            <w:shd w:val="clear" w:fill="F2F2F2"/>
          </w:tcPr>
          <w:p>
            <w:pPr>
              <w:spacing w:before="20" w:after="20"/>
              <w:jc w:val="left"/>
            </w:pPr>
            <w:r/>
            <w:r>
              <w:rPr>
                <w:rFonts w:ascii="Open Sans" w:hAnsi="Open Sans" w:eastAsia="Open Sans"/>
                <w:b/>
                <w:i w:val="0"/>
                <w:color w:val="222222"/>
                <w:sz w:val="17"/>
              </w:rPr>
              <w:t>Cliente</w:t>
            </w:r>
          </w:p>
        </w:tc>
        <w:tc>
          <w:tcPr>
            <w:tcW w:type="dxa" w:w="4819"/>
            <w:shd w:val="clear" w:fill="F2F2F2"/>
          </w:tcPr>
          <w:p>
            <w:pPr>
              <w:spacing w:before="20" w:after="20"/>
              <w:jc w:val="left"/>
            </w:pPr>
            <w:r/>
            <w:r>
              <w:rPr>
                <w:rFonts w:ascii="Open Sans" w:hAnsi="Open Sans" w:eastAsia="Open Sans"/>
                <w:b/>
                <w:i w:val="0"/>
                <w:color w:val="222222"/>
                <w:sz w:val="17"/>
              </w:rPr>
              <w:t>Proveedor</w:t>
            </w:r>
          </w:p>
        </w:tc>
      </w:tr>
      <w:tr>
        <w:trPr>
          <w:cantSplit/>
        </w:trPr>
        <w:tc>
          <w:tcPr>
            <w:tcW w:type="dxa" w:w="4819"/>
          </w:tcPr>
          <w:p>
            <w:pPr>
              <w:spacing w:before="20" w:after="20"/>
              <w:jc w:val="left"/>
            </w:pPr>
            <w:r/>
            <w:r>
              <w:rPr>
                <w:rFonts w:ascii="Open Sans" w:hAnsi="Open Sans" w:eastAsia="Open Sans"/>
                <w:b w:val="0"/>
                <w:i w:val="0"/>
                <w:color w:val="222222"/>
                <w:sz w:val="17"/>
              </w:rPr>
              <w:t>Vicerrectoría Financiera</w:t>
              <w:br/>
              <w:t>Coordinación Financiera</w:t>
              <w:br/>
              <w:t>Coordinador de Recaudo y Permanencia</w:t>
            </w:r>
          </w:p>
        </w:tc>
        <w:tc>
          <w:tcPr>
            <w:tcW w:type="dxa" w:w="4819"/>
          </w:tcPr>
          <w:p>
            <w:pPr>
              <w:spacing w:before="20" w:after="20"/>
              <w:jc w:val="left"/>
            </w:pPr>
            <w:r/>
            <w:r>
              <w:rPr>
                <w:rFonts w:ascii="Open Sans" w:hAnsi="Open Sans" w:eastAsia="Open Sans"/>
                <w:b w:val="0"/>
                <w:i w:val="0"/>
                <w:color w:val="222222"/>
                <w:sz w:val="17"/>
              </w:rPr>
              <w:t>Vicerrectoría de Servicios Digitales</w:t>
              <w:br/>
              <w:t>Coordinación de Analítica</w:t>
              <w:br/>
              <w:t>Aura Rosa Henao Santana</w:t>
            </w:r>
          </w:p>
        </w:tc>
      </w:tr>
    </w:tbl>
    <w:p>
      <w:pPr>
        <w:spacing w:before="240" w:after="100"/>
      </w:pPr>
      <w:r>
        <w:rPr>
          <w:rFonts w:ascii="Montserrat" w:hAnsi="Montserrat" w:eastAsia="Montserrat"/>
          <w:b/>
          <w:i w:val="0"/>
          <w:color w:val="5AA700"/>
          <w:sz w:val="21"/>
        </w:rPr>
        <w:t>Objetivo del ANS</w:t>
      </w:r>
    </w:p>
    <w:p>
      <w:pPr>
        <w:spacing w:before="0" w:after="100" w:line="269" w:lineRule="auto"/>
      </w:pPr>
      <w:r>
        <w:rPr>
          <w:rFonts w:ascii="Open Sans" w:hAnsi="Open Sans" w:eastAsia="Open Sans"/>
          <w:b w:val="0"/>
          <w:i w:val="0"/>
          <w:color w:val="222222"/>
          <w:sz w:val="18"/>
        </w:rPr>
        <w:t>Establecer las reglas de negocio, los términos y las condiciones bajo los cuales el área proveedora (Coordinación de Analítica Financiera — Ingeniería de Desarrollo Financiero) calcula, publica y comunica mensualmente la medición de la gestión de cobranza y del recaudo atribuible a cada asesor, para que el área cliente (Dirección Financiera — Gestión de Cartera) realice el seguimiento del equipo y la liquidación del período con una definición única, verificable y reproducible.</w:t>
      </w:r>
    </w:p>
    <w:p>
      <w:pPr>
        <w:spacing w:before="0" w:after="100" w:line="269" w:lineRule="auto"/>
      </w:pPr>
      <w:r>
        <w:rPr>
          <w:rFonts w:ascii="Open Sans" w:hAnsi="Open Sans" w:eastAsia="Open Sans"/>
          <w:b w:val="0"/>
          <w:i w:val="0"/>
          <w:color w:val="222222"/>
          <w:sz w:val="18"/>
        </w:rPr>
        <w:t>Este acuerdo complementa el ANS de «Meta mensual de cartera estudiantil vencida»: aquel define QUÉ cartera se debe gestionar; este define CÓMO se mide la gestión ejecutada sobre ella y qué recaudo se le atribuye a cada asesor.</w:t>
      </w:r>
    </w:p>
    <w:p>
      <w:pPr>
        <w:spacing w:before="240" w:after="100"/>
      </w:pPr>
      <w:r>
        <w:rPr>
          <w:rFonts w:ascii="Montserrat" w:hAnsi="Montserrat" w:eastAsia="Montserrat"/>
          <w:b/>
          <w:i w:val="0"/>
          <w:color w:val="5AA700"/>
          <w:sz w:val="21"/>
        </w:rPr>
        <w:t>1. Servicio o Entregable</w:t>
      </w:r>
    </w:p>
    <w:p>
      <w:pPr>
        <w:spacing w:before="120" w:after="80" w:line="269" w:lineRule="auto"/>
      </w:pPr>
      <w:r>
        <w:rPr>
          <w:rFonts w:ascii="Open Sans" w:hAnsi="Open Sans" w:eastAsia="Open Sans"/>
          <w:b/>
          <w:i w:val="0"/>
          <w:sz w:val="18"/>
        </w:rPr>
        <w:t xml:space="preserve">- Nombre del servicio o producto entregable: </w:t>
      </w:r>
      <w:r>
        <w:rPr>
          <w:rFonts w:ascii="Open Sans" w:hAnsi="Open Sans" w:eastAsia="Open Sans"/>
          <w:b w:val="0"/>
          <w:i w:val="0"/>
          <w:sz w:val="18"/>
        </w:rPr>
        <w:t>Medición mensual de gestión de cobranza y recaudo atribuible por asesor — CUN_REPOSITORIO</w:t>
      </w:r>
    </w:p>
    <w:p>
      <w:pPr>
        <w:spacing w:before="120" w:after="60" w:line="269" w:lineRule="auto"/>
      </w:pPr>
      <w:r>
        <w:rPr>
          <w:rFonts w:ascii="Open Sans" w:hAnsi="Open Sans" w:eastAsia="Open Sans"/>
          <w:b/>
          <w:i w:val="0"/>
          <w:color w:val="222222"/>
          <w:sz w:val="18"/>
        </w:rPr>
        <w:t>Entregables específicos:</w:t>
      </w:r>
    </w:p>
    <w:p>
      <w:pPr>
        <w:spacing w:before="80" w:after="60" w:line="269" w:lineRule="auto"/>
        <w:ind w:left="454"/>
      </w:pPr>
      <w:r>
        <w:rPr>
          <w:rFonts w:ascii="Open Sans" w:hAnsi="Open Sans" w:eastAsia="Open Sans"/>
          <w:b/>
          <w:i w:val="0"/>
          <w:sz w:val="18"/>
        </w:rPr>
        <w:t xml:space="preserve">1.  </w:t>
      </w:r>
      <w:r>
        <w:rPr>
          <w:rFonts w:ascii="Open Sans" w:hAnsi="Open Sans" w:eastAsia="Open Sans"/>
          <w:b/>
          <w:i w:val="0"/>
          <w:sz w:val="18"/>
        </w:rPr>
        <w:t xml:space="preserve">Columnas de medición en la tabla materializada → </w:t>
      </w:r>
      <w:r>
        <w:rPr>
          <w:rFonts w:ascii="Open Sans" w:hAnsi="Open Sans" w:eastAsia="Open Sans"/>
          <w:b w:val="0"/>
          <w:i w:val="0"/>
          <w:sz w:val="18"/>
        </w:rPr>
        <w:t>Analítica Financiera expone en [Financiera].[Cartera_CUN_Asesor_Unico], actualizada por job diario, las columnas GESTION_ASESOR, GESTION_MARCA, GESTION_FECHA_PRIMERA, GESTION_FECHA_ULTIMA y GESTION_PAGO_POST_MARCA. Son la fuente única para cualquier indicador de gestión, tablero o informe.</w:t>
      </w:r>
    </w:p>
    <w:p>
      <w:pPr>
        <w:spacing w:before="80" w:after="60" w:line="269" w:lineRule="auto"/>
        <w:ind w:left="454"/>
      </w:pPr>
      <w:r>
        <w:rPr>
          <w:rFonts w:ascii="Open Sans" w:hAnsi="Open Sans" w:eastAsia="Open Sans"/>
          <w:b/>
          <w:i w:val="0"/>
          <w:sz w:val="18"/>
        </w:rPr>
        <w:t xml:space="preserve">2.  </w:t>
      </w:r>
      <w:r>
        <w:rPr>
          <w:rFonts w:ascii="Open Sans" w:hAnsi="Open Sans" w:eastAsia="Open Sans"/>
          <w:b/>
          <w:i w:val="0"/>
          <w:sz w:val="18"/>
        </w:rPr>
        <w:t xml:space="preserve">Informe ejecutivo de cierre mensual → </w:t>
      </w:r>
      <w:r>
        <w:rPr>
          <w:rFonts w:ascii="Open Sans" w:hAnsi="Open Sans" w:eastAsia="Open Sans"/>
          <w:b w:val="0"/>
          <w:i w:val="0"/>
          <w:sz w:val="18"/>
        </w:rPr>
        <w:t>documento Word con el cumplimiento de la meta, la gestión del equipo en agregado, el recaudo atribuible, el ritmo de la gestión y el plan de acción del mes siguiente.</w:t>
      </w:r>
    </w:p>
    <w:p>
      <w:pPr>
        <w:spacing w:before="80" w:after="60" w:line="269" w:lineRule="auto"/>
        <w:ind w:left="454"/>
      </w:pPr>
      <w:r>
        <w:rPr>
          <w:rFonts w:ascii="Open Sans" w:hAnsi="Open Sans" w:eastAsia="Open Sans"/>
          <w:b/>
          <w:i w:val="0"/>
          <w:sz w:val="18"/>
        </w:rPr>
        <w:t xml:space="preserve">3.  </w:t>
      </w:r>
      <w:r>
        <w:rPr>
          <w:rFonts w:ascii="Open Sans" w:hAnsi="Open Sans" w:eastAsia="Open Sans"/>
          <w:b/>
          <w:i w:val="0"/>
          <w:sz w:val="18"/>
        </w:rPr>
        <w:t xml:space="preserve">Base de gestión por asesor → </w:t>
      </w:r>
      <w:r>
        <w:rPr>
          <w:rFonts w:ascii="Open Sans" w:hAnsi="Open Sans" w:eastAsia="Open Sans"/>
          <w:b w:val="0"/>
          <w:i w:val="0"/>
          <w:sz w:val="18"/>
        </w:rPr>
        <w:t>archivo Excel con el detalle nominal por asesor (gestiones, personas gestionadas, pagos atribuibles y valor) para efectos de liquidación y seguimiento. Contiene datos personales de estudiantes y de empleados, por lo que se entrega por canal interno y no se publica en repositorios ni se versiona en control de código.</w:t>
      </w:r>
    </w:p>
    <w:p>
      <w:pPr>
        <w:spacing w:before="120" w:after="80" w:line="269" w:lineRule="auto"/>
      </w:pPr>
      <w:r>
        <w:rPr>
          <w:rFonts w:ascii="Open Sans" w:hAnsi="Open Sans" w:eastAsia="Open Sans"/>
          <w:b/>
          <w:i w:val="0"/>
          <w:sz w:val="18"/>
        </w:rPr>
        <w:t>- Descripción del servicio o producto:</w:t>
      </w:r>
      <w:r>
        <w:rPr>
          <w:rFonts w:ascii="Open Sans" w:hAnsi="Open Sans" w:eastAsia="Open Sans"/>
          <w:b w:val="0"/>
          <w:i w:val="0"/>
          <w:sz w:val="18"/>
        </w:rPr>
      </w:r>
    </w:p>
    <w:p>
      <w:pPr>
        <w:spacing w:before="0" w:after="100" w:line="269" w:lineRule="auto"/>
      </w:pPr>
      <w:r>
        <w:rPr>
          <w:rFonts w:ascii="Open Sans" w:hAnsi="Open Sans" w:eastAsia="Open Sans"/>
          <w:b w:val="0"/>
          <w:i w:val="0"/>
          <w:color w:val="222222"/>
          <w:sz w:val="18"/>
        </w:rPr>
        <w:t>Analítica Financiera determina, para cada estudiante, si fue efectivamente gestionado por un asesor y qué pagos son atribuibles a esa gestión. La gestión se lee del histórico de tipificación del CRM ([ZOHO].[CRM].[Historico_tipificacion_contact]), que es la única fuente que registra QUIÉN ejecutó cada movimiento, y se materializa en la tabla de cartera para consumo de tableros e informes.</w:t>
      </w:r>
    </w:p>
    <w:p>
      <w:pPr>
        <w:spacing w:before="120" w:after="80" w:line="269" w:lineRule="auto"/>
      </w:pPr>
      <w:r>
        <w:rPr>
          <w:rFonts w:ascii="Open Sans" w:hAnsi="Open Sans" w:eastAsia="Open Sans"/>
          <w:b/>
          <w:i w:val="0"/>
          <w:sz w:val="18"/>
        </w:rPr>
        <w:t>- Regla SQL de gestión efectiva (quién gestionó):</w:t>
      </w:r>
      <w:r>
        <w:rPr>
          <w:rFonts w:ascii="Open Sans" w:hAnsi="Open Sans" w:eastAsia="Open Sans"/>
          <w:b w:val="0"/>
          <w:i w:val="0"/>
          <w:sz w:val="18"/>
        </w:rPr>
      </w:r>
    </w:p>
    <w:p>
      <w:pPr>
        <w:spacing w:before="80" w:after="0" w:line="240" w:lineRule="auto"/>
        <w:ind w:left="454"/>
      </w:pPr>
      <w:r>
        <w:rPr>
          <w:rFonts w:ascii="Consolas" w:hAnsi="Consolas" w:eastAsia="Consolas"/>
          <w:b w:val="0"/>
          <w:i w:val="0"/>
          <w:color w:val="1F497D"/>
          <w:sz w:val="16"/>
        </w:rPr>
        <w:t>FROM [ZOHO].[CRM].[Historico_tipificacion_contact] e</w:t>
      </w:r>
    </w:p>
    <w:p>
      <w:pPr>
        <w:spacing w:before="0" w:after="0" w:line="240" w:lineRule="auto"/>
        <w:ind w:left="454"/>
      </w:pPr>
      <w:r>
        <w:rPr>
          <w:rFonts w:ascii="Consolas" w:hAnsi="Consolas" w:eastAsia="Consolas"/>
          <w:b w:val="0"/>
          <w:i w:val="0"/>
          <w:color w:val="1F497D"/>
          <w:sz w:val="16"/>
        </w:rPr>
        <w:t>JOIN ZOHO.CRM.Cartera_CUN c</w:t>
      </w:r>
    </w:p>
    <w:p>
      <w:pPr>
        <w:spacing w:before="0" w:after="0" w:line="240" w:lineRule="auto"/>
        <w:ind w:left="454"/>
      </w:pPr>
      <w:r>
        <w:rPr>
          <w:rFonts w:ascii="Consolas" w:hAnsi="Consolas" w:eastAsia="Consolas"/>
          <w:b w:val="0"/>
          <w:i w:val="0"/>
          <w:color w:val="1F497D"/>
          <w:sz w:val="16"/>
        </w:rPr>
        <w:t xml:space="preserve">     ON CONVERT(varchar(30), c.Id) = CONVERT(varchar(30), e.Cartera_CUN)</w:t>
      </w:r>
    </w:p>
    <w:p>
      <w:pPr>
        <w:spacing w:before="0" w:after="0" w:line="240" w:lineRule="auto"/>
        <w:ind w:left="454"/>
      </w:pPr>
      <w:r>
        <w:rPr>
          <w:rFonts w:ascii="Consolas" w:hAnsi="Consolas" w:eastAsia="Consolas"/>
          <w:b w:val="0"/>
          <w:i w:val="0"/>
          <w:color w:val="1F497D"/>
          <w:sz w:val="16"/>
        </w:rPr>
        <w:t>WHERE e.Hecho_por IS NOT NULL</w:t>
      </w:r>
    </w:p>
    <w:p>
      <w:pPr>
        <w:spacing w:before="0" w:after="0" w:line="240" w:lineRule="auto"/>
        <w:ind w:left="454"/>
      </w:pPr>
      <w:r>
        <w:rPr>
          <w:rFonts w:ascii="Consolas" w:hAnsi="Consolas" w:eastAsia="Consolas"/>
          <w:b w:val="0"/>
          <w:i w:val="0"/>
          <w:color w:val="1F497D"/>
          <w:sz w:val="16"/>
        </w:rPr>
        <w:t xml:space="preserve">  AND UPPER(e.Hecho_por) NOT LIKE '%CUN DIGITAL%'  -- cuenta de sistema, no es asesor</w:t>
      </w:r>
    </w:p>
    <w:p>
      <w:pPr>
        <w:spacing w:before="0" w:after="0" w:line="240" w:lineRule="auto"/>
        <w:ind w:left="454"/>
      </w:pPr>
      <w:r>
        <w:rPr>
          <w:rFonts w:ascii="Consolas" w:hAnsi="Consolas" w:eastAsia="Consolas"/>
          <w:b w:val="0"/>
          <w:i w:val="0"/>
          <w:color w:val="1F497D"/>
          <w:sz w:val="16"/>
        </w:rPr>
        <w:t xml:space="preserve">  AND UPPER(e.Hecho_por) NOT LIKE '%PENAGOS%'      -- cuenta de coordinación</w:t>
      </w:r>
    </w:p>
    <w:p>
      <w:pPr>
        <w:spacing w:before="0" w:after="80" w:line="240" w:lineRule="auto"/>
        <w:ind w:left="454"/>
      </w:pPr>
      <w:r>
        <w:rPr>
          <w:rFonts w:ascii="Consolas" w:hAnsi="Consolas" w:eastAsia="Consolas"/>
          <w:b w:val="0"/>
          <w:i w:val="0"/>
          <w:color w:val="1F497D"/>
          <w:sz w:val="16"/>
        </w:rPr>
        <w:t>-- Equivalente sobre la tabla materializada:  WHERE GESTION_MARCA = 1</w:t>
      </w:r>
    </w:p>
    <w:p>
      <w:pPr>
        <w:spacing w:before="120" w:after="80" w:line="269" w:lineRule="auto"/>
      </w:pPr>
      <w:r>
        <w:rPr>
          <w:rFonts w:ascii="Open Sans" w:hAnsi="Open Sans" w:eastAsia="Open Sans"/>
          <w:b/>
          <w:i w:val="0"/>
          <w:sz w:val="18"/>
        </w:rPr>
        <w:t>- Regla SQL de recaudo atribuible (qué pago cuenta):</w:t>
      </w:r>
      <w:r>
        <w:rPr>
          <w:rFonts w:ascii="Open Sans" w:hAnsi="Open Sans" w:eastAsia="Open Sans"/>
          <w:b w:val="0"/>
          <w:i w:val="0"/>
          <w:sz w:val="18"/>
        </w:rPr>
      </w:r>
    </w:p>
    <w:p>
      <w:pPr>
        <w:spacing w:before="80" w:after="0" w:line="240" w:lineRule="auto"/>
        <w:ind w:left="454"/>
      </w:pPr>
      <w:r>
        <w:rPr>
          <w:rFonts w:ascii="Consolas" w:hAnsi="Consolas" w:eastAsia="Consolas"/>
          <w:b w:val="0"/>
          <w:i w:val="0"/>
          <w:color w:val="1F497D"/>
          <w:sz w:val="16"/>
        </w:rPr>
        <w:t>FROM [Financiera].[Cartera_CUN_Asesor_Unico]</w:t>
      </w:r>
    </w:p>
    <w:p>
      <w:pPr>
        <w:spacing w:before="0" w:after="0" w:line="240" w:lineRule="auto"/>
        <w:ind w:left="454"/>
      </w:pPr>
      <w:r>
        <w:rPr>
          <w:rFonts w:ascii="Consolas" w:hAnsi="Consolas" w:eastAsia="Consolas"/>
          <w:b w:val="0"/>
          <w:i w:val="0"/>
          <w:color w:val="1F497D"/>
          <w:sz w:val="16"/>
        </w:rPr>
        <w:t>WHERE GESTION_PAGO_POST_MARCA = 1   -- persona gestionada Y pago posterior</w:t>
      </w:r>
    </w:p>
    <w:p>
      <w:pPr>
        <w:spacing w:before="0" w:after="0" w:line="240" w:lineRule="auto"/>
        <w:ind w:left="454"/>
      </w:pPr>
      <w:r>
        <w:rPr>
          <w:rFonts w:ascii="Consolas" w:hAnsi="Consolas" w:eastAsia="Consolas"/>
          <w:b w:val="0"/>
          <w:i w:val="0"/>
          <w:color w:val="1F497D"/>
          <w:sz w:val="16"/>
        </w:rPr>
        <w:t xml:space="preserve">  AND TRY_CONVERT(date, Fecha_de_pago, 103) BETWEEN @inicio AND @fin</w:t>
      </w:r>
    </w:p>
    <w:p>
      <w:pPr>
        <w:spacing w:before="0" w:after="80" w:line="240" w:lineRule="auto"/>
        <w:ind w:left="454"/>
      </w:pPr>
      <w:r>
        <w:rPr>
          <w:rFonts w:ascii="Consolas" w:hAnsi="Consolas" w:eastAsia="Consolas"/>
          <w:b w:val="0"/>
          <w:i w:val="0"/>
          <w:color w:val="1F497D"/>
          <w:sz w:val="16"/>
        </w:rPr>
        <w:t>-- La marca exige que el pago sea posterior a GESTION_FECHA_PRIMERA.</w:t>
      </w:r>
    </w:p>
    <w:p>
      <w:pPr>
        <w:spacing w:before="240" w:after="100"/>
      </w:pPr>
      <w:r>
        <w:rPr>
          <w:rFonts w:ascii="Montserrat" w:hAnsi="Montserrat" w:eastAsia="Montserrat"/>
          <w:b/>
          <w:i w:val="0"/>
          <w:color w:val="5AA700"/>
          <w:sz w:val="21"/>
        </w:rPr>
        <w:t>2. Características del Servicio o Entregable</w:t>
      </w:r>
    </w:p>
    <w:p>
      <w:pPr>
        <w:spacing w:before="0" w:after="80" w:line="269" w:lineRule="auto"/>
      </w:pPr>
      <w:r>
        <w:rPr>
          <w:rFonts w:ascii="Open Sans" w:hAnsi="Open Sans" w:eastAsia="Open Sans"/>
          <w:b w:val="0"/>
          <w:i w:val="0"/>
          <w:color w:val="222222"/>
          <w:sz w:val="18"/>
        </w:rPr>
        <w:t>El área proveedora se compromete a aplicar las siguientes reglas de negocio, sin excepción y de forma idéntica en todos los informes y tableros:</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Definición de gestión: </w:t>
      </w:r>
      <w:r>
        <w:rPr>
          <w:rFonts w:ascii="Open Sans" w:hAnsi="Open Sans" w:eastAsia="Open Sans"/>
          <w:b w:val="0"/>
          <w:i w:val="0"/>
          <w:sz w:val="18"/>
        </w:rPr>
        <w:t>una gestión es una tipificación registrada en el histórico del CRM por una persona. El asesor es el campo Hecho_por de esa tipificación.</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Exclusión de cuentas automáticas: </w:t>
      </w:r>
      <w:r>
        <w:rPr>
          <w:rFonts w:ascii="Open Sans" w:hAnsi="Open Sans" w:eastAsia="Open Sans"/>
          <w:b w:val="0"/>
          <w:i w:val="0"/>
          <w:sz w:val="18"/>
        </w:rPr>
        <w:t>las tipificaciones de las cuentas de sistema CUN DIGITAL y PENAGOS no son gestión de asesor y se excluyen. Representan el 54,3% del histórico; en agosto de 2026 fueron 42.768 de las 65.709 tipificaciones del mes.</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Prohibición expresa: </w:t>
      </w:r>
      <w:r>
        <w:rPr>
          <w:rFonts w:ascii="Open Sans" w:hAnsi="Open Sans" w:eastAsia="Open Sans"/>
          <w:b w:val="0"/>
          <w:i w:val="0"/>
          <w:sz w:val="18"/>
        </w:rPr>
        <w:t>el campo Asesor_Unico NO se usa para medir gestión. Está diseñado para nunca quedar vacío: cuando nadie ha tipificado, cae al usuario que modificó el registro o al propietario asignado de la cartera, de modo que atribuye trabajo a asesores que jamás gestionaron. Su uso correcto es responder de quién es la cartera: asignación, reparto, cuartiles y cartera sin responsable.</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Grano de medición: </w:t>
      </w:r>
      <w:r>
        <w:rPr>
          <w:rFonts w:ascii="Open Sans" w:hAnsi="Open Sans" w:eastAsia="Open Sans"/>
          <w:b w:val="0"/>
          <w:i w:val="0"/>
          <w:sz w:val="18"/>
        </w:rPr>
        <w:t>la gestión se resuelve por número de identificación del estudiante, no por obligación. Una cédula pertenece a un asesor sin importar cuántas cuotas tenga, en coherencia con la lógica de cobro vigente.</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Atribución de pago: </w:t>
      </w:r>
      <w:r>
        <w:rPr>
          <w:rFonts w:ascii="Open Sans" w:hAnsi="Open Sans" w:eastAsia="Open Sans"/>
          <w:b w:val="0"/>
          <w:i w:val="0"/>
          <w:sz w:val="18"/>
        </w:rPr>
        <w:t>un pago se atribuye a la gestión cuando la persona fue efectivamente gestionada y la fecha del pago es igual o posterior a la de la PRIMERA gestión sobre ella. Se mide contra la primera y no contra la última porque el 22,3% de los pagos ocurre antes del último contacto registrado: el asesor vuelve a tipificar después de cobrar, para dejar constancia.</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Naturaleza del dato de pago: </w:t>
      </w:r>
      <w:r>
        <w:rPr>
          <w:rFonts w:ascii="Open Sans" w:hAnsi="Open Sans" w:eastAsia="Open Sans"/>
          <w:b w:val="0"/>
          <w:i w:val="0"/>
          <w:sz w:val="18"/>
        </w:rPr>
        <w:t>las cifras de pago corresponden a lo que los asesores registran en el CRM y se rotulan siempre como «registrado en CRM» o «atribuible a la gestión». No equivalen al recaudo institucional de caja, que se contabiliza por otra vía.</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Confidencialidad del detalle nominal: </w:t>
      </w:r>
      <w:r>
        <w:rPr>
          <w:rFonts w:ascii="Open Sans" w:hAnsi="Open Sans" w:eastAsia="Open Sans"/>
          <w:b w:val="0"/>
          <w:i w:val="0"/>
          <w:sz w:val="18"/>
        </w:rPr>
        <w:t>el informe ejecutivo reporta el equipo en agregado y no nombra asesores. El detalle nominal se entrega únicamente en la base de trabajo del coordinador, por solicitud expresa y por canal interno, por tratarse de evaluación de personal.</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Trazabilidad de los cambios: </w:t>
      </w:r>
      <w:r>
        <w:rPr>
          <w:rFonts w:ascii="Open Sans" w:hAnsi="Open Sans" w:eastAsia="Open Sans"/>
          <w:b w:val="0"/>
          <w:i w:val="0"/>
          <w:sz w:val="18"/>
        </w:rPr>
        <w:t>cualquier cambio en estas definiciones se documenta en las reglas de negocio y se comunica a la contraparte antes de publicar cifras bajo el criterio nuevo. Un cambio de criterio que altere una cifra ya entregada obliga a emitir fe de erratas.</w:t>
      </w:r>
    </w:p>
    <w:p>
      <w:r>
        <w:br w:type="page"/>
      </w:r>
    </w:p>
    <w:p>
      <w:pPr>
        <w:spacing w:before="120" w:after="100"/>
      </w:pPr>
      <w:r>
        <w:rPr>
          <w:rFonts w:ascii="Montserrat" w:hAnsi="Montserrat" w:eastAsia="Montserrat"/>
          <w:b/>
          <w:i w:val="0"/>
          <w:color w:val="5AA700"/>
          <w:sz w:val="21"/>
        </w:rPr>
        <w:t>3. Tiempos de Entrega</w:t>
      </w:r>
    </w:p>
    <w:p>
      <w:pPr>
        <w:spacing w:before="0" w:after="100" w:line="269" w:lineRule="auto"/>
      </w:pPr>
      <w:r>
        <w:rPr>
          <w:rFonts w:ascii="Open Sans" w:hAnsi="Open Sans" w:eastAsia="Open Sans"/>
          <w:b w:val="0"/>
          <w:i w:val="0"/>
          <w:color w:val="222222"/>
          <w:sz w:val="18"/>
        </w:rPr>
        <w:t>Las partes acuerdan los siguientes plazos:</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2721"/>
            <w:shd w:val="clear" w:fill="F2F2F2"/>
          </w:tcPr>
          <w:p>
            <w:pPr>
              <w:spacing w:before="20" w:after="20"/>
              <w:jc w:val="left"/>
            </w:pPr>
            <w:r/>
            <w:r>
              <w:rPr>
                <w:rFonts w:ascii="Open Sans" w:hAnsi="Open Sans" w:eastAsia="Open Sans"/>
                <w:b/>
                <w:i w:val="0"/>
                <w:color w:val="222222"/>
                <w:sz w:val="16"/>
              </w:rPr>
              <w:t>Actividad</w:t>
            </w:r>
          </w:p>
        </w:tc>
        <w:tc>
          <w:tcPr>
            <w:tcW w:type="dxa" w:w="2041"/>
            <w:shd w:val="clear" w:fill="F2F2F2"/>
          </w:tcPr>
          <w:p>
            <w:pPr>
              <w:spacing w:before="20" w:after="20"/>
              <w:jc w:val="left"/>
            </w:pPr>
            <w:r/>
            <w:r>
              <w:rPr>
                <w:rFonts w:ascii="Open Sans" w:hAnsi="Open Sans" w:eastAsia="Open Sans"/>
                <w:b/>
                <w:i w:val="0"/>
                <w:color w:val="222222"/>
                <w:sz w:val="16"/>
              </w:rPr>
              <w:t>Responsable</w:t>
            </w:r>
          </w:p>
        </w:tc>
        <w:tc>
          <w:tcPr>
            <w:tcW w:type="dxa" w:w="4876"/>
            <w:shd w:val="clear" w:fill="F2F2F2"/>
          </w:tcPr>
          <w:p>
            <w:pPr>
              <w:spacing w:before="20" w:after="20"/>
              <w:jc w:val="left"/>
            </w:pPr>
            <w:r/>
            <w:r>
              <w:rPr>
                <w:rFonts w:ascii="Open Sans" w:hAnsi="Open Sans" w:eastAsia="Open Sans"/>
                <w:b/>
                <w:i w:val="0"/>
                <w:color w:val="222222"/>
                <w:sz w:val="16"/>
              </w:rPr>
              <w:t>Plazo / Condición</w:t>
            </w:r>
          </w:p>
        </w:tc>
      </w:tr>
      <w:tr>
        <w:trPr>
          <w:cantSplit/>
        </w:trPr>
        <w:tc>
          <w:tcPr>
            <w:tcW w:type="dxa" w:w="2721"/>
          </w:tcPr>
          <w:p>
            <w:pPr>
              <w:spacing w:before="20" w:after="20"/>
              <w:jc w:val="left"/>
            </w:pPr>
            <w:r/>
            <w:r>
              <w:rPr>
                <w:rFonts w:ascii="Open Sans" w:hAnsi="Open Sans" w:eastAsia="Open Sans"/>
                <w:b w:val="0"/>
                <w:i w:val="0"/>
                <w:color w:val="222222"/>
                <w:sz w:val="16"/>
              </w:rPr>
              <w:t>Actualización de las columnas de medición</w:t>
            </w:r>
          </w:p>
        </w:tc>
        <w:tc>
          <w:tcPr>
            <w:tcW w:type="dxa" w:w="2041"/>
          </w:tcPr>
          <w:p>
            <w:pPr>
              <w:spacing w:before="20" w:after="20"/>
              <w:jc w:val="left"/>
            </w:pPr>
            <w:r/>
            <w:r>
              <w:rPr>
                <w:rFonts w:ascii="Open Sans" w:hAnsi="Open Sans" w:eastAsia="Open Sans"/>
                <w:b w:val="0"/>
                <w:i w:val="0"/>
                <w:color w:val="222222"/>
                <w:sz w:val="16"/>
              </w:rPr>
              <w:t>Analítica Financiera</w:t>
            </w:r>
          </w:p>
        </w:tc>
        <w:tc>
          <w:tcPr>
            <w:tcW w:type="dxa" w:w="4876"/>
          </w:tcPr>
          <w:p>
            <w:pPr>
              <w:spacing w:before="20" w:after="20"/>
              <w:jc w:val="left"/>
            </w:pPr>
            <w:r/>
            <w:r>
              <w:rPr>
                <w:rFonts w:ascii="Open Sans" w:hAnsi="Open Sans" w:eastAsia="Open Sans"/>
                <w:b w:val="0"/>
                <w:i w:val="0"/>
                <w:color w:val="222222"/>
                <w:sz w:val="16"/>
              </w:rPr>
              <w:t>Diaria, por job automático. La medición del mes queda en firme el primer día calendario del mes siguiente.</w:t>
            </w:r>
          </w:p>
        </w:tc>
      </w:tr>
      <w:tr>
        <w:trPr>
          <w:cantSplit/>
        </w:trPr>
        <w:tc>
          <w:tcPr>
            <w:tcW w:type="dxa" w:w="2721"/>
          </w:tcPr>
          <w:p>
            <w:pPr>
              <w:spacing w:before="20" w:after="20"/>
              <w:jc w:val="left"/>
            </w:pPr>
            <w:r/>
            <w:r>
              <w:rPr>
                <w:rFonts w:ascii="Open Sans" w:hAnsi="Open Sans" w:eastAsia="Open Sans"/>
                <w:b w:val="0"/>
                <w:i w:val="0"/>
                <w:color w:val="222222"/>
                <w:sz w:val="16"/>
              </w:rPr>
              <w:t>Entrega del informe ejecutivo de cierre</w:t>
            </w:r>
          </w:p>
        </w:tc>
        <w:tc>
          <w:tcPr>
            <w:tcW w:type="dxa" w:w="2041"/>
          </w:tcPr>
          <w:p>
            <w:pPr>
              <w:spacing w:before="20" w:after="20"/>
              <w:jc w:val="left"/>
            </w:pPr>
            <w:r/>
            <w:r>
              <w:rPr>
                <w:rFonts w:ascii="Open Sans" w:hAnsi="Open Sans" w:eastAsia="Open Sans"/>
                <w:b w:val="0"/>
                <w:i w:val="0"/>
                <w:color w:val="222222"/>
                <w:sz w:val="16"/>
              </w:rPr>
              <w:t>Analítica Financiera</w:t>
            </w:r>
          </w:p>
        </w:tc>
        <w:tc>
          <w:tcPr>
            <w:tcW w:type="dxa" w:w="4876"/>
          </w:tcPr>
          <w:p>
            <w:pPr>
              <w:spacing w:before="20" w:after="20"/>
              <w:jc w:val="left"/>
            </w:pPr>
            <w:r/>
            <w:r>
              <w:rPr>
                <w:rFonts w:ascii="Open Sans" w:hAnsi="Open Sans" w:eastAsia="Open Sans"/>
                <w:b w:val="0"/>
                <w:i w:val="0"/>
                <w:color w:val="222222"/>
                <w:sz w:val="16"/>
              </w:rPr>
              <w:t>3.er día hábil de cada mes. Se notifica por correo a oscar_penagos@cun.edu.co con el informe y la base de gestión adjuntos.</w:t>
            </w:r>
          </w:p>
        </w:tc>
      </w:tr>
      <w:tr>
        <w:trPr>
          <w:cantSplit/>
        </w:trPr>
        <w:tc>
          <w:tcPr>
            <w:tcW w:type="dxa" w:w="2721"/>
          </w:tcPr>
          <w:p>
            <w:pPr>
              <w:spacing w:before="20" w:after="20"/>
              <w:jc w:val="left"/>
            </w:pPr>
            <w:r/>
            <w:r>
              <w:rPr>
                <w:rFonts w:ascii="Open Sans" w:hAnsi="Open Sans" w:eastAsia="Open Sans"/>
                <w:b w:val="0"/>
                <w:i w:val="0"/>
                <w:color w:val="222222"/>
                <w:sz w:val="16"/>
              </w:rPr>
              <w:t>Entrega de la base nominal para liquidación</w:t>
            </w:r>
          </w:p>
        </w:tc>
        <w:tc>
          <w:tcPr>
            <w:tcW w:type="dxa" w:w="2041"/>
          </w:tcPr>
          <w:p>
            <w:pPr>
              <w:spacing w:before="20" w:after="20"/>
              <w:jc w:val="left"/>
            </w:pPr>
            <w:r/>
            <w:r>
              <w:rPr>
                <w:rFonts w:ascii="Open Sans" w:hAnsi="Open Sans" w:eastAsia="Open Sans"/>
                <w:b w:val="0"/>
                <w:i w:val="0"/>
                <w:color w:val="222222"/>
                <w:sz w:val="16"/>
              </w:rPr>
              <w:t>Analítica Financiera</w:t>
            </w:r>
          </w:p>
        </w:tc>
        <w:tc>
          <w:tcPr>
            <w:tcW w:type="dxa" w:w="4876"/>
          </w:tcPr>
          <w:p>
            <w:pPr>
              <w:spacing w:before="20" w:after="20"/>
              <w:jc w:val="left"/>
            </w:pPr>
            <w:r/>
            <w:r>
              <w:rPr>
                <w:rFonts w:ascii="Open Sans" w:hAnsi="Open Sans" w:eastAsia="Open Sans"/>
                <w:b w:val="0"/>
                <w:i w:val="0"/>
                <w:color w:val="222222"/>
                <w:sz w:val="16"/>
              </w:rPr>
              <w:t>Junto con el informe ejecutivo, por canal interno.</w:t>
            </w:r>
          </w:p>
        </w:tc>
      </w:tr>
      <w:tr>
        <w:trPr>
          <w:cantSplit/>
        </w:trPr>
        <w:tc>
          <w:tcPr>
            <w:tcW w:type="dxa" w:w="2721"/>
          </w:tcPr>
          <w:p>
            <w:pPr>
              <w:spacing w:before="20" w:after="20"/>
              <w:jc w:val="left"/>
            </w:pPr>
            <w:r/>
            <w:r>
              <w:rPr>
                <w:rFonts w:ascii="Open Sans" w:hAnsi="Open Sans" w:eastAsia="Open Sans"/>
                <w:b w:val="0"/>
                <w:i w:val="0"/>
                <w:color w:val="222222"/>
                <w:sz w:val="16"/>
              </w:rPr>
              <w:t>Observaciones o solicitud de ajuste</w:t>
            </w:r>
          </w:p>
        </w:tc>
        <w:tc>
          <w:tcPr>
            <w:tcW w:type="dxa" w:w="2041"/>
          </w:tcPr>
          <w:p>
            <w:pPr>
              <w:spacing w:before="20" w:after="20"/>
              <w:jc w:val="left"/>
            </w:pPr>
            <w:r/>
            <w:r>
              <w:rPr>
                <w:rFonts w:ascii="Open Sans" w:hAnsi="Open Sans" w:eastAsia="Open Sans"/>
                <w:b w:val="0"/>
                <w:i w:val="0"/>
                <w:color w:val="222222"/>
                <w:sz w:val="16"/>
              </w:rPr>
              <w:t>Coordinador de Recaudo y Permanencia</w:t>
            </w:r>
          </w:p>
        </w:tc>
        <w:tc>
          <w:tcPr>
            <w:tcW w:type="dxa" w:w="4876"/>
          </w:tcPr>
          <w:p>
            <w:pPr>
              <w:spacing w:before="20" w:after="20"/>
              <w:jc w:val="left"/>
            </w:pPr>
            <w:r/>
            <w:r>
              <w:rPr>
                <w:rFonts w:ascii="Open Sans" w:hAnsi="Open Sans" w:eastAsia="Open Sans"/>
                <w:b w:val="0"/>
                <w:i w:val="0"/>
                <w:color w:val="222222"/>
                <w:sz w:val="16"/>
              </w:rPr>
              <w:t>Dos (2) días hábiles después de recibir el informe. Pasado ese plazo las cifras se consideran aceptadas para liquidación.</w:t>
            </w:r>
          </w:p>
        </w:tc>
      </w:tr>
      <w:tr>
        <w:trPr>
          <w:cantSplit/>
        </w:trPr>
        <w:tc>
          <w:tcPr>
            <w:tcW w:type="dxa" w:w="2721"/>
          </w:tcPr>
          <w:p>
            <w:pPr>
              <w:spacing w:before="20" w:after="20"/>
              <w:jc w:val="left"/>
            </w:pPr>
            <w:r/>
            <w:r>
              <w:rPr>
                <w:rFonts w:ascii="Open Sans" w:hAnsi="Open Sans" w:eastAsia="Open Sans"/>
                <w:b w:val="0"/>
                <w:i w:val="0"/>
                <w:color w:val="222222"/>
                <w:sz w:val="16"/>
              </w:rPr>
              <w:t>Emisión de fe de erratas, si aplica</w:t>
            </w:r>
          </w:p>
        </w:tc>
        <w:tc>
          <w:tcPr>
            <w:tcW w:type="dxa" w:w="2041"/>
          </w:tcPr>
          <w:p>
            <w:pPr>
              <w:spacing w:before="20" w:after="20"/>
              <w:jc w:val="left"/>
            </w:pPr>
            <w:r/>
            <w:r>
              <w:rPr>
                <w:rFonts w:ascii="Open Sans" w:hAnsi="Open Sans" w:eastAsia="Open Sans"/>
                <w:b w:val="0"/>
                <w:i w:val="0"/>
                <w:color w:val="222222"/>
                <w:sz w:val="16"/>
              </w:rPr>
              <w:t>Analítica Financiera</w:t>
            </w:r>
          </w:p>
        </w:tc>
        <w:tc>
          <w:tcPr>
            <w:tcW w:type="dxa" w:w="4876"/>
          </w:tcPr>
          <w:p>
            <w:pPr>
              <w:spacing w:before="20" w:after="20"/>
              <w:jc w:val="left"/>
            </w:pPr>
            <w:r/>
            <w:r>
              <w:rPr>
                <w:rFonts w:ascii="Open Sans" w:hAnsi="Open Sans" w:eastAsia="Open Sans"/>
                <w:b w:val="0"/>
                <w:i w:val="0"/>
                <w:color w:val="222222"/>
                <w:sz w:val="16"/>
              </w:rPr>
              <w:t>Dentro de los dos (2) días hábiles siguientes a la detección del error, indicando cifra publicada, cifra corregida y causa.</w:t>
            </w:r>
          </w:p>
        </w:tc>
      </w:tr>
    </w:tbl>
    <w:p>
      <w:pPr>
        <w:spacing w:before="0" w:after="60" w:line="269" w:lineRule="auto"/>
      </w:pPr>
      <w:r>
        <w:rPr>
          <w:rFonts w:ascii="Open Sans" w:hAnsi="Open Sans" w:eastAsia="Open Sans"/>
          <w:b w:val="0"/>
          <w:i w:val="0"/>
          <w:color w:val="222222"/>
          <w:sz w:val="18"/>
        </w:rPr>
      </w:r>
    </w:p>
    <w:p>
      <w:pPr>
        <w:spacing w:before="120" w:after="80" w:line="269" w:lineRule="auto"/>
      </w:pPr>
      <w:r>
        <w:rPr>
          <w:rFonts w:ascii="Open Sans" w:hAnsi="Open Sans" w:eastAsia="Open Sans"/>
          <w:b/>
          <w:i w:val="0"/>
          <w:sz w:val="18"/>
        </w:rPr>
        <w:t xml:space="preserve">Correo de notificación de Analítica Financiera: </w:t>
      </w:r>
      <w:r>
        <w:rPr>
          <w:rFonts w:ascii="Open Sans" w:hAnsi="Open Sans" w:eastAsia="Open Sans"/>
          <w:b w:val="0"/>
          <w:i w:val="0"/>
          <w:sz w:val="18"/>
        </w:rPr>
        <w:t>jefferson_patinom@cun.edu.co</w:t>
      </w:r>
    </w:p>
    <w:p>
      <w:pPr>
        <w:spacing w:before="40" w:after="80" w:line="269" w:lineRule="auto"/>
      </w:pPr>
      <w:r>
        <w:rPr>
          <w:rFonts w:ascii="Open Sans" w:hAnsi="Open Sans" w:eastAsia="Open Sans"/>
          <w:b/>
          <w:i w:val="0"/>
          <w:sz w:val="18"/>
        </w:rPr>
        <w:t xml:space="preserve">Fuente de datos: </w:t>
      </w:r>
      <w:r>
        <w:rPr>
          <w:rFonts w:ascii="Open Sans" w:hAnsi="Open Sans" w:eastAsia="Open Sans"/>
          <w:b w:val="0"/>
          <w:i w:val="0"/>
          <w:sz w:val="18"/>
        </w:rPr>
        <w:t>[Financiera].[Cartera_CUN_Asesor_Unico] y [ZOHO].[CRM].[Historico_tipificacion_contact], en CUN_REPOSITORIO.</w:t>
      </w:r>
    </w:p>
    <w:p>
      <w:pPr>
        <w:spacing w:before="240" w:after="100"/>
      </w:pPr>
      <w:r>
        <w:rPr>
          <w:rFonts w:ascii="Montserrat" w:hAnsi="Montserrat" w:eastAsia="Montserrat"/>
          <w:b/>
          <w:i w:val="0"/>
          <w:color w:val="5AA700"/>
          <w:sz w:val="21"/>
        </w:rPr>
        <w:t>4. Limitaciones declaradas</w:t>
      </w:r>
    </w:p>
    <w:p>
      <w:pPr>
        <w:spacing w:before="0" w:after="80" w:line="269" w:lineRule="auto"/>
      </w:pPr>
      <w:r>
        <w:rPr>
          <w:rFonts w:ascii="Open Sans" w:hAnsi="Open Sans" w:eastAsia="Open Sans"/>
          <w:b w:val="0"/>
          <w:i w:val="0"/>
          <w:color w:val="222222"/>
          <w:sz w:val="18"/>
        </w:rPr>
        <w:t>El área proveedora deja constancia de lo que la medición NO puede establecer con la información disponible a la fecha de este acuerdo:</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Fotografía diaria: </w:t>
      </w:r>
      <w:r>
        <w:rPr>
          <w:rFonts w:ascii="Open Sans" w:hAnsi="Open Sans" w:eastAsia="Open Sans"/>
          <w:b w:val="0"/>
          <w:i w:val="0"/>
          <w:sz w:val="18"/>
        </w:rPr>
        <w:t>la tabla del CRM es una fotografía del día y se reconstruye en cada corrida. Lo tipificado en un mes y sobrescrito después no es recuperable desde ella; por eso la gestión se lee del histórico, que sí conserva cada movimiento.</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Campaña de mensajes: </w:t>
      </w:r>
      <w:r>
        <w:rPr>
          <w:rFonts w:ascii="Open Sans" w:hAnsi="Open Sans" w:eastAsia="Open Sans"/>
          <w:b w:val="0"/>
          <w:i w:val="0"/>
          <w:sz w:val="18"/>
        </w:rPr>
        <w:t>la campaña de mensajes preventivos se mide por los campos Plantilla y Población, que describen la automatización configurada en Zoho, no un acuse del proveedor. No es posible establecer si el mensaje se envió, en qué fecha, si fue entregado ni si fue leído, porque esa información la devuelve la API de WhatsApp Meta y aún no está integrada. Mientras no lo esté, las cifras de la campaña se reportan como techo de impacto potencial por coincidencia y no como recaudo demostrado, y no son comparables de igual a igual con la gestión de los asesores.</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Ausencia de fecha de envío: </w:t>
      </w:r>
      <w:r>
        <w:rPr>
          <w:rFonts w:ascii="Open Sans" w:hAnsi="Open Sans" w:eastAsia="Open Sans"/>
          <w:b w:val="0"/>
          <w:i w:val="0"/>
          <w:sz w:val="18"/>
        </w:rPr>
        <w:t>sin fecha de envío no se puede exigir a la campaña la misma regla de anterioridad que se aplica a los asesores, por lo que su atribución es estrictamente más débil.</w:t>
      </w:r>
    </w:p>
    <w:p>
      <w:pPr>
        <w:spacing w:before="40" w:after="60" w:line="264" w:lineRule="auto"/>
        <w:ind w:left="454"/>
      </w:pPr>
      <w:r>
        <w:rPr>
          <w:rFonts w:ascii="Open Sans" w:hAnsi="Open Sans" w:eastAsia="Open Sans"/>
          <w:b/>
          <w:i w:val="0"/>
          <w:color w:val="5AA700"/>
          <w:sz w:val="18"/>
        </w:rPr>
        <w:t xml:space="preserve">•   </w:t>
      </w:r>
      <w:r>
        <w:rPr>
          <w:rFonts w:ascii="Open Sans" w:hAnsi="Open Sans" w:eastAsia="Open Sans"/>
          <w:b/>
          <w:i w:val="0"/>
          <w:sz w:val="18"/>
        </w:rPr>
        <w:t xml:space="preserve">Alcance de la efectividad: </w:t>
      </w:r>
      <w:r>
        <w:rPr>
          <w:rFonts w:ascii="Open Sans" w:hAnsi="Open Sans" w:eastAsia="Open Sans"/>
          <w:b w:val="0"/>
          <w:i w:val="0"/>
          <w:sz w:val="18"/>
        </w:rPr>
        <w:t>la efectividad relaciona gestión con pago registrado, pero no establece causalidad: no hay asignación aleatoria ni grupo de control construido para ese fin.</w:t>
      </w:r>
    </w:p>
    <w:p>
      <w:pPr>
        <w:spacing w:before="0" w:after="80" w:line="269" w:lineRule="auto"/>
      </w:pPr>
      <w:r>
        <w:rPr>
          <w:rFonts w:ascii="Open Sans" w:hAnsi="Open Sans" w:eastAsia="Open Sans"/>
          <w:b w:val="0"/>
          <w:i w:val="0"/>
          <w:color w:val="222222"/>
          <w:sz w:val="18"/>
        </w:rPr>
      </w:r>
    </w:p>
    <w:p>
      <w:pPr>
        <w:spacing w:before="120" w:after="100" w:line="269" w:lineRule="auto"/>
      </w:pPr>
      <w:r>
        <w:rPr>
          <w:rFonts w:ascii="Open Sans" w:hAnsi="Open Sans" w:eastAsia="Open Sans"/>
          <w:b/>
          <w:i w:val="0"/>
          <w:color w:val="222222"/>
          <w:sz w:val="17"/>
        </w:rPr>
        <w:t>NOTA: En caso de requerir un cambio al ANS se debe notificar a su contraparte y la Dirección de Planeación.</w:t>
      </w:r>
    </w:p>
    <w:p>
      <w:r>
        <w:br w:type="page"/>
      </w:r>
    </w:p>
    <w:tbl>
      <w:tblPr>
        <w:tblStyle w:val="TableGrid"/>
        <w:tblW w:type="auto" w:w="0"/>
        <w:tblLook w:firstColumn="1" w:firstRow="1" w:lastColumn="0" w:lastRow="0" w:noHBand="0" w:noVBand="1" w:val="04A0"/>
      </w:tblPr>
      <w:tblGrid>
        <w:gridCol w:w="4986"/>
        <w:gridCol w:w="4986"/>
      </w:tblGrid>
      <w:tr>
        <w:tc>
          <w:tcPr>
            <w:tcW w:type="dxa" w:w="4819"/>
          </w:tcPr>
          <w:p>
            <w:pPr>
              <w:spacing w:before="20" w:after="20"/>
              <w:jc w:val="left"/>
            </w:pPr>
            <w:r/>
            <w:r>
              <w:rPr>
                <w:rFonts w:ascii="Open Sans" w:hAnsi="Open Sans" w:eastAsia="Open Sans"/>
                <w:b/>
                <w:i w:val="0"/>
                <w:color w:val="222222"/>
                <w:sz w:val="18"/>
              </w:rPr>
              <w:t>Área Solicitante</w:t>
            </w:r>
          </w:p>
          <w:p>
            <w:pPr>
              <w:spacing w:before="200" w:after="40"/>
            </w:pPr>
            <w:r>
              <w:rPr>
                <w:rFonts w:ascii="Open Sans" w:hAnsi="Open Sans" w:eastAsia="Open Sans"/>
                <w:b w:val="0"/>
                <w:i w:val="0"/>
                <w:sz w:val="18"/>
              </w:rPr>
              <w:t xml:space="preserve">Firma:  </w:t>
            </w:r>
            <w:r>
              <w:rPr>
                <w:rFonts w:ascii="Open Sans" w:hAnsi="Open Sans" w:eastAsia="Open Sans"/>
                <w:b w:val="0"/>
                <w:i w:val="0"/>
                <w:color w:val="898D8D"/>
                <w:sz w:val="18"/>
              </w:rPr>
              <w:t>______________________________</w:t>
            </w:r>
          </w:p>
          <w:p>
            <w:pPr>
              <w:spacing w:before="200" w:after="40"/>
            </w:pPr>
            <w:r>
              <w:rPr>
                <w:rFonts w:ascii="Open Sans" w:hAnsi="Open Sans" w:eastAsia="Open Sans"/>
                <w:b w:val="0"/>
                <w:i w:val="0"/>
                <w:sz w:val="18"/>
              </w:rPr>
              <w:t xml:space="preserve">Nombre:  </w:t>
            </w:r>
            <w:r>
              <w:rPr>
                <w:rFonts w:ascii="Open Sans" w:hAnsi="Open Sans" w:eastAsia="Open Sans"/>
                <w:b w:val="0"/>
                <w:i w:val="0"/>
                <w:color w:val="898D8D"/>
                <w:sz w:val="18"/>
              </w:rPr>
              <w:t>______________________________</w:t>
            </w:r>
          </w:p>
          <w:p>
            <w:pPr>
              <w:spacing w:before="200" w:after="40"/>
            </w:pPr>
            <w:r>
              <w:rPr>
                <w:rFonts w:ascii="Open Sans" w:hAnsi="Open Sans" w:eastAsia="Open Sans"/>
                <w:b w:val="0"/>
                <w:i w:val="0"/>
                <w:sz w:val="18"/>
              </w:rPr>
              <w:t xml:space="preserve">Fecha:  </w:t>
            </w:r>
            <w:r>
              <w:rPr>
                <w:rFonts w:ascii="Open Sans" w:hAnsi="Open Sans" w:eastAsia="Open Sans"/>
                <w:b w:val="0"/>
                <w:i w:val="0"/>
                <w:color w:val="898D8D"/>
                <w:sz w:val="18"/>
              </w:rPr>
              <w:t>______________________________</w:t>
            </w:r>
          </w:p>
        </w:tc>
        <w:tc>
          <w:tcPr>
            <w:tcW w:type="dxa" w:w="4819"/>
          </w:tcPr>
          <w:p>
            <w:pPr>
              <w:spacing w:before="20" w:after="20"/>
              <w:jc w:val="left"/>
            </w:pPr>
            <w:r/>
            <w:r>
              <w:rPr>
                <w:rFonts w:ascii="Open Sans" w:hAnsi="Open Sans" w:eastAsia="Open Sans"/>
                <w:b/>
                <w:i w:val="0"/>
                <w:color w:val="222222"/>
                <w:sz w:val="18"/>
              </w:rPr>
              <w:t>Área Proveedora</w:t>
            </w:r>
          </w:p>
          <w:p>
            <w:pPr>
              <w:spacing w:before="200" w:after="40"/>
            </w:pPr>
            <w:r>
              <w:rPr>
                <w:rFonts w:ascii="Open Sans" w:hAnsi="Open Sans" w:eastAsia="Open Sans"/>
                <w:b w:val="0"/>
                <w:i w:val="0"/>
                <w:sz w:val="18"/>
              </w:rPr>
              <w:t xml:space="preserve">Firma:  </w:t>
            </w:r>
            <w:r>
              <w:rPr>
                <w:rFonts w:ascii="Open Sans" w:hAnsi="Open Sans" w:eastAsia="Open Sans"/>
                <w:b w:val="0"/>
                <w:i w:val="0"/>
                <w:color w:val="898D8D"/>
                <w:sz w:val="18"/>
              </w:rPr>
              <w:t>______________________________</w:t>
            </w:r>
          </w:p>
          <w:p>
            <w:pPr>
              <w:spacing w:before="200" w:after="40"/>
            </w:pPr>
            <w:r>
              <w:rPr>
                <w:rFonts w:ascii="Open Sans" w:hAnsi="Open Sans" w:eastAsia="Open Sans"/>
                <w:b w:val="0"/>
                <w:i w:val="0"/>
                <w:sz w:val="18"/>
              </w:rPr>
              <w:t xml:space="preserve">Nombre:  </w:t>
            </w:r>
            <w:r>
              <w:rPr>
                <w:rFonts w:ascii="Open Sans" w:hAnsi="Open Sans" w:eastAsia="Open Sans"/>
                <w:b w:val="0"/>
                <w:i w:val="0"/>
                <w:color w:val="898D8D"/>
                <w:sz w:val="18"/>
              </w:rPr>
              <w:t>______________________________</w:t>
            </w:r>
          </w:p>
          <w:p>
            <w:pPr>
              <w:spacing w:before="200" w:after="40"/>
            </w:pPr>
            <w:r>
              <w:rPr>
                <w:rFonts w:ascii="Open Sans" w:hAnsi="Open Sans" w:eastAsia="Open Sans"/>
                <w:b w:val="0"/>
                <w:i w:val="0"/>
                <w:sz w:val="18"/>
              </w:rPr>
              <w:t xml:space="preserve">Fecha:  </w:t>
            </w:r>
            <w:r>
              <w:rPr>
                <w:rFonts w:ascii="Open Sans" w:hAnsi="Open Sans" w:eastAsia="Open Sans"/>
                <w:b w:val="0"/>
                <w:i w:val="0"/>
                <w:color w:val="898D8D"/>
                <w:sz w:val="18"/>
              </w:rPr>
              <w:t>______________________________</w:t>
            </w:r>
          </w:p>
        </w:tc>
      </w:tr>
    </w:tbl>
    <w:sectPr w:rsidR="00FC693F" w:rsidRPr="0006063C" w:rsidSect="00034616">
      <w:headerReference w:type="default" r:id="rId9"/>
      <w:footerReference w:type="default" r:id="rId10"/>
      <w:pgSz w:w="12240" w:h="15840"/>
      <w:pgMar w:top="680" w:right="1134"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Style w:val="TableGrid"/>
      <w:tblW w:type="auto" w:w="0"/>
      <w:tblLook w:firstColumn="1" w:firstRow="1" w:lastColumn="0" w:lastRow="0" w:noHBand="0" w:noVBand="1" w:val="04A0"/>
    </w:tblPr>
    <w:tblGrid>
      <w:gridCol w:w="3213"/>
      <w:gridCol w:w="3213"/>
      <w:gridCol w:w="3213"/>
    </w:tblGrid>
    <w:tr>
      <w:tc>
        <w:tcPr>
          <w:tcW w:type="dxa" w:w="2835"/>
        </w:tcPr>
        <w:p>
          <w:pPr>
            <w:spacing w:before="20" w:after="20"/>
            <w:jc w:val="left"/>
          </w:pPr>
          <w:r/>
          <w:r>
            <w:rPr>
              <w:rFonts w:ascii="Open Sans" w:hAnsi="Open Sans" w:eastAsia="Open Sans"/>
              <w:b w:val="0"/>
              <w:i w:val="0"/>
              <w:color w:val="222222"/>
              <w:sz w:val="15"/>
            </w:rPr>
            <w:t>Elaboró: Especialista de Procesos</w:t>
          </w:r>
        </w:p>
      </w:tc>
      <w:tc>
        <w:tcPr>
          <w:tcW w:type="dxa" w:w="3685"/>
        </w:tcPr>
        <w:p>
          <w:pPr>
            <w:spacing w:before="20" w:after="20"/>
            <w:jc w:val="left"/>
          </w:pPr>
          <w:r/>
          <w:r>
            <w:rPr>
              <w:rFonts w:ascii="Open Sans" w:hAnsi="Open Sans" w:eastAsia="Open Sans"/>
              <w:b w:val="0"/>
              <w:i w:val="0"/>
              <w:color w:val="222222"/>
              <w:sz w:val="15"/>
            </w:rPr>
            <w:t>Revisó: Dirección de Planeación y Gestión</w:t>
          </w:r>
        </w:p>
      </w:tc>
      <w:tc>
        <w:tcPr>
          <w:tcW w:type="dxa" w:w="3118"/>
        </w:tcPr>
        <w:p>
          <w:pPr>
            <w:spacing w:before="20" w:after="20"/>
            <w:jc w:val="left"/>
          </w:pPr>
          <w:r/>
          <w:r>
            <w:rPr>
              <w:rFonts w:ascii="Open Sans" w:hAnsi="Open Sans" w:eastAsia="Open Sans"/>
              <w:b w:val="0"/>
              <w:i w:val="0"/>
              <w:color w:val="222222"/>
              <w:sz w:val="15"/>
            </w:rPr>
            <w:t>Aprobó: Director de Planeación y Gestión</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Style w:val="TableGrid"/>
      <w:tblW w:type="auto" w:w="0"/>
      <w:tblLook w:firstColumn="1" w:firstRow="1" w:lastColumn="0" w:lastRow="0" w:noHBand="0" w:noVBand="1" w:val="04A0"/>
    </w:tblPr>
    <w:tblGrid>
      <w:gridCol w:w="3213"/>
      <w:gridCol w:w="3213"/>
      <w:gridCol w:w="3213"/>
    </w:tblGrid>
    <w:tr>
      <w:tc>
        <w:tcPr>
          <w:tcW w:type="dxa" w:w="1814"/>
          <w:vMerge w:val="restart"/>
          <w:vAlign w:val="center"/>
        </w:tcPr>
        <w:p>
          <w:pPr>
            <w:spacing w:before="20" w:after="20"/>
            <w:jc w:val="center"/>
          </w:pPr>
          <w:r/>
          <w:r>
            <w:rPr>
              <w:rFonts w:ascii="Open Sans" w:hAnsi="Open Sans" w:eastAsia="Open Sans"/>
              <w:b w:val="0"/>
              <w:i w:val="0"/>
              <w:color w:val="898D8D"/>
              <w:sz w:val="15"/>
            </w:rPr>
            <w:t>[ logo CUN ]</w:t>
          </w:r>
        </w:p>
      </w:tc>
      <w:tc>
        <w:tcPr>
          <w:tcW w:type="dxa" w:w="3572"/>
          <w:vMerge w:val="restart"/>
          <w:vAlign w:val="center"/>
        </w:tcPr>
        <w:p>
          <w:pPr>
            <w:spacing w:before="20" w:after="20"/>
            <w:jc w:val="center"/>
          </w:pPr>
          <w:r/>
          <w:r>
            <w:rPr>
              <w:rFonts w:ascii="Montserrat" w:hAnsi="Montserrat" w:eastAsia="Montserrat"/>
              <w:b/>
              <w:i w:val="0"/>
              <w:color w:val="222222"/>
              <w:sz w:val="22"/>
            </w:rPr>
            <w:t>Firmas acuerdo de nivel de servicio (ANS)</w:t>
          </w:r>
        </w:p>
      </w:tc>
      <w:tc>
        <w:tcPr>
          <w:tcW w:type="dxa" w:w="4252"/>
        </w:tcPr>
        <w:p>
          <w:pPr>
            <w:spacing w:before="20" w:after="20"/>
          </w:pPr>
          <w:r/>
          <w:r>
            <w:rPr>
              <w:rFonts w:ascii="Open Sans" w:hAnsi="Open Sans" w:eastAsia="Open Sans"/>
              <w:b/>
              <w:i w:val="0"/>
              <w:sz w:val="16"/>
            </w:rPr>
            <w:t xml:space="preserve">Proceso: </w:t>
          </w:r>
          <w:r>
            <w:rPr>
              <w:rFonts w:ascii="Open Sans" w:hAnsi="Open Sans" w:eastAsia="Open Sans"/>
              <w:b w:val="0"/>
              <w:i w:val="0"/>
              <w:sz w:val="16"/>
            </w:rPr>
            <w:t>Gestión de Apoyo Documental</w:t>
          </w:r>
        </w:p>
      </w:tc>
    </w:tr>
    <w:tr>
      <w:tc>
        <w:tcPr>
          <w:tcW w:type="dxa" w:w="1814"/>
          <w:vMerge/>
        </w:tcPr>
        <w:p/>
      </w:tc>
      <w:tc>
        <w:tcPr>
          <w:tcW w:type="dxa" w:w="3572"/>
          <w:vMerge/>
        </w:tcPr>
        <w:p/>
      </w:tc>
      <w:tc>
        <w:tcPr>
          <w:tcW w:type="dxa" w:w="4252"/>
        </w:tcPr>
        <w:p>
          <w:pPr>
            <w:spacing w:before="20" w:after="20"/>
          </w:pPr>
          <w:r/>
          <w:r>
            <w:rPr>
              <w:rFonts w:ascii="Open Sans" w:hAnsi="Open Sans" w:eastAsia="Open Sans"/>
              <w:b/>
              <w:i w:val="0"/>
              <w:sz w:val="16"/>
            </w:rPr>
            <w:t xml:space="preserve">Área: </w:t>
          </w:r>
          <w:r>
            <w:rPr>
              <w:rFonts w:ascii="Open Sans" w:hAnsi="Open Sans" w:eastAsia="Open Sans"/>
              <w:b w:val="0"/>
              <w:i w:val="0"/>
              <w:sz w:val="16"/>
            </w:rPr>
            <w:t>Dirección De Planeación y Gestión</w:t>
          </w:r>
        </w:p>
      </w:tc>
    </w:tr>
    <w:tr>
      <w:tc>
        <w:tcPr>
          <w:tcW w:type="dxa" w:w="1814"/>
          <w:vMerge/>
        </w:tcPr>
        <w:p/>
      </w:tc>
      <w:tc>
        <w:tcPr>
          <w:tcW w:type="dxa" w:w="3572"/>
          <w:vMerge/>
        </w:tcPr>
        <w:p/>
      </w:tc>
      <w:tc>
        <w:tcPr>
          <w:tcW w:type="dxa" w:w="4252"/>
        </w:tcPr>
        <w:p>
          <w:pPr>
            <w:spacing w:before="20" w:after="20"/>
          </w:pPr>
          <w:r/>
          <w:r>
            <w:rPr>
              <w:rFonts w:ascii="Open Sans" w:hAnsi="Open Sans" w:eastAsia="Open Sans"/>
              <w:b/>
              <w:i w:val="0"/>
              <w:sz w:val="16"/>
            </w:rPr>
            <w:t xml:space="preserve">Código: </w:t>
          </w:r>
          <w:r>
            <w:rPr>
              <w:rFonts w:ascii="Open Sans" w:hAnsi="Open Sans" w:eastAsia="Open Sans"/>
              <w:b w:val="0"/>
              <w:i w:val="0"/>
              <w:sz w:val="16"/>
            </w:rPr>
            <w:t>PRC-FOR-010</w:t>
          </w:r>
        </w:p>
      </w:tc>
    </w:tr>
    <w:tr>
      <w:tc>
        <w:tcPr>
          <w:tcW w:type="dxa" w:w="1814"/>
          <w:vMerge/>
        </w:tcPr>
        <w:p/>
      </w:tc>
      <w:tc>
        <w:tcPr>
          <w:tcW w:type="dxa" w:w="3572"/>
          <w:vMerge/>
        </w:tcPr>
        <w:p/>
      </w:tc>
      <w:tc>
        <w:tcPr>
          <w:tcW w:type="dxa" w:w="4252"/>
        </w:tcPr>
        <w:p>
          <w:pPr>
            <w:spacing w:before="20" w:after="20"/>
          </w:pPr>
          <w:r/>
          <w:r>
            <w:rPr>
              <w:rFonts w:ascii="Open Sans" w:hAnsi="Open Sans" w:eastAsia="Open Sans"/>
              <w:b/>
              <w:i w:val="0"/>
              <w:sz w:val="16"/>
            </w:rPr>
            <w:t xml:space="preserve">Versión: </w:t>
          </w:r>
          <w:r>
            <w:rPr>
              <w:rFonts w:ascii="Open Sans" w:hAnsi="Open Sans" w:eastAsia="Open Sans"/>
              <w:b w:val="0"/>
              <w:i w:val="0"/>
              <w:sz w:val="16"/>
            </w:rPr>
            <w:t>2.0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