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64" w:lineRule="auto"/>
      </w:pPr>
      <w:r>
        <w:rPr>
          <w:rFonts w:ascii="Montserrat" w:hAnsi="Montserrat" w:eastAsia="Montserrat"/>
          <w:b/>
          <w:i w:val="0"/>
          <w:color w:val="00859B"/>
          <w:sz w:val="19"/>
        </w:rPr>
        <w:t>INFORME EJECUTIVO</w:t>
      </w:r>
    </w:p>
    <w:p>
      <w:pPr>
        <w:spacing w:after="40" w:before="0" w:line="264" w:lineRule="auto"/>
      </w:pPr>
      <w:r>
        <w:rPr>
          <w:rFonts w:ascii="Montserrat" w:hAnsi="Montserrat" w:eastAsia="Montserrat"/>
          <w:b/>
          <w:i w:val="0"/>
          <w:color w:val="0C2340"/>
          <w:sz w:val="38"/>
        </w:rPr>
        <w:t>Cierre de Cartera — Agosto 2026</w:t>
      </w:r>
    </w:p>
    <w:p>
      <w:pPr>
        <w:spacing w:before="40" w:after="120"/>
        <w:pBdr>
          <w:bottom w:val="single" w:sz="24" w:space="1" w:color="84BD00"/>
        </w:pBdr>
      </w:pPr>
    </w:p>
    <w:p>
      <w:pPr>
        <w:spacing w:after="160"/>
      </w:pPr>
      <w:r>
        <w:rPr>
          <w:rFonts w:ascii="Open Sans" w:hAnsi="Open Sans" w:eastAsia="Open Sans"/>
          <w:b/>
          <w:i w:val="0"/>
          <w:color w:val="1B365D"/>
          <w:sz w:val="18"/>
        </w:rPr>
        <w:t xml:space="preserve">Dirigido a: </w:t>
      </w:r>
      <w:r>
        <w:rPr>
          <w:rFonts w:ascii="Open Sans" w:hAnsi="Open Sans" w:eastAsia="Open Sans"/>
          <w:b w:val="0"/>
          <w:i w:val="0"/>
          <w:color w:val="222222"/>
          <w:sz w:val="18"/>
        </w:rPr>
        <w:t xml:space="preserve">Óscar Penagos — Coordinación de Recaudo y Cartera     </w:t>
      </w:r>
      <w:r>
        <w:rPr>
          <w:rFonts w:ascii="Open Sans" w:hAnsi="Open Sans" w:eastAsia="Open Sans"/>
          <w:b/>
          <w:i w:val="0"/>
          <w:color w:val="1B365D"/>
          <w:sz w:val="18"/>
        </w:rPr>
        <w:t xml:space="preserve">Periodo: </w:t>
      </w:r>
      <w:r>
        <w:rPr>
          <w:rFonts w:ascii="Open Sans" w:hAnsi="Open Sans" w:eastAsia="Open Sans"/>
          <w:b w:val="0"/>
          <w:i w:val="0"/>
          <w:color w:val="222222"/>
          <w:sz w:val="18"/>
        </w:rPr>
        <w:t xml:space="preserve">agosto de 2026     </w:t>
      </w:r>
      <w:r>
        <w:rPr>
          <w:rFonts w:ascii="Open Sans" w:hAnsi="Open Sans" w:eastAsia="Open Sans"/>
          <w:b/>
          <w:i w:val="0"/>
          <w:color w:val="1B365D"/>
          <w:sz w:val="18"/>
        </w:rPr>
        <w:t xml:space="preserve">Elaboró: </w:t>
      </w:r>
      <w:r>
        <w:rPr>
          <w:rFonts w:ascii="Open Sans" w:hAnsi="Open Sans" w:eastAsia="Open Sans"/>
          <w:b w:val="0"/>
          <w:i w:val="0"/>
          <w:color w:val="222222"/>
          <w:sz w:val="18"/>
        </w:rPr>
        <w:t>Analítica financiera CUN</w:t>
      </w:r>
    </w:p>
    <w:p>
      <w:pPr>
        <w:spacing w:before="120" w:after="0"/>
        <w:ind w:left="85"/>
        <w:pBdr>
          <w:left w:val="single" w:sz="24" w:space="6" w:color="84BD00"/>
        </w:pBdr>
        <w:shd w:val="clear" w:fill="F0F4F8"/>
      </w:pPr>
      <w:r>
        <w:rPr>
          <w:rFonts w:ascii="Montserrat" w:hAnsi="Montserrat" w:eastAsia="Montserrat"/>
          <w:b/>
          <w:i w:val="0"/>
          <w:color w:val="0C2340"/>
          <w:sz w:val="21"/>
        </w:rPr>
        <w:t>Conclusión</w:t>
      </w:r>
    </w:p>
    <w:p>
      <w:pPr>
        <w:spacing w:before="0" w:after="20" w:line="259" w:lineRule="auto"/>
        <w:ind w:left="85"/>
        <w:pBdr>
          <w:left w:val="single" w:sz="24" w:space="6" w:color="84BD00"/>
        </w:pBdr>
        <w:shd w:val="clear" w:fill="F0F4F8"/>
      </w:pPr>
      <w:r>
        <w:rPr>
          <w:rFonts w:ascii="Open Sans" w:hAnsi="Open Sans" w:eastAsia="Open Sans"/>
          <w:b w:val="0"/>
          <w:i w:val="0"/>
          <w:color w:val="222222"/>
          <w:sz w:val="19"/>
        </w:rPr>
        <w:t>En agosto salieron de la meta 9.289 obligaciones de 6.248 estudiantes, equivalentes a $2.769,5 millones: un cumplimiento del 18,5% sobre las 50.146 obligaciones con que arrancó el mes. El equipo registró 61.767 gestiones sobre 18.716 personas y $5.483,9 millones en pagos.</w:t>
      </w:r>
    </w:p>
    <w:p>
      <w:pPr>
        <w:spacing w:before="0" w:after="120" w:line="259" w:lineRule="auto"/>
        <w:ind w:left="85"/>
        <w:pBdr>
          <w:left w:val="single" w:sz="24" w:space="6" w:color="84BD00"/>
        </w:pBdr>
        <w:shd w:val="clear" w:fill="F0F4F8"/>
      </w:pPr>
      <w:r>
        <w:rPr>
          <w:rFonts w:ascii="Open Sans" w:hAnsi="Open Sans" w:eastAsia="Open Sans"/>
          <w:b w:val="0"/>
          <w:i w:val="0"/>
          <w:color w:val="222222"/>
          <w:sz w:val="19"/>
        </w:rPr>
        <w:t>El hallazgo que exige decisión es de asignación, no de esfuerzo: 84.179 registros de 28.619 personas permanecen sin asesor responsable y por tanto fuera de toda gestión.</w:t>
      </w:r>
    </w:p>
    <w:p>
      <w:pPr>
        <w:spacing w:before="140" w:after="60"/>
      </w:pPr>
      <w:r>
        <w:rPr>
          <w:rFonts w:ascii="Montserrat" w:hAnsi="Montserrat" w:eastAsia="Montserrat"/>
          <w:b/>
          <w:i w:val="0"/>
          <w:color w:val="0C2340"/>
          <w:sz w:val="25"/>
        </w:rPr>
        <w:t>1.  Cumplimiento de la meta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9.289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6.248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$2.769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18,5%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OBLIGACIONES CUMPLIDAS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ESTUDIANTES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MILLONES LIBERADOS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CUMPLIMIENTO</w:t>
            </w:r>
          </w:p>
        </w:tc>
      </w:tr>
    </w:tbl>
    <w:p>
      <w:pPr>
        <w:spacing w:after="80" w:before="120" w:line="264" w:lineRule="auto"/>
      </w:pPr>
      <w:r>
        <w:rPr>
          <w:rFonts w:ascii="Open Sans" w:hAnsi="Open Sans" w:eastAsia="Open Sans"/>
          <w:b w:val="0"/>
          <w:i w:val="0"/>
          <w:color w:val="222222"/>
          <w:sz w:val="20"/>
        </w:rPr>
        <w:t>La meta de agosto se cerró el 1 de septiembre. Comparamos el universo con el que se trabajó contra el que sobrevivió al corte: una obligación se considera cumplida cuando desaparece por completo de la cartera vigente.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3969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1417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Obligaciones</w:t>
            </w:r>
          </w:p>
        </w:tc>
        <w:tc>
          <w:tcPr>
            <w:tcW w:type="dxa" w:w="13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Estudiantes</w:t>
            </w:r>
          </w:p>
        </w:tc>
        <w:tc>
          <w:tcPr>
            <w:tcW w:type="dxa" w:w="1417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Saldo ($ MM)</w:t>
            </w:r>
          </w:p>
        </w:tc>
        <w:tc>
          <w:tcPr>
            <w:tcW w:type="dxa" w:w="113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% total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Universo con que arrancó agosto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50.146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20.748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15.198,0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100,0%</w:t>
            </w:r>
          </w:p>
        </w:tc>
      </w:tr>
      <w:tr>
        <w:tc>
          <w:tcPr>
            <w:tcW w:type="dxa" w:w="3969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Salieron por pago o normalización</w:t>
            </w:r>
          </w:p>
        </w:tc>
        <w:tc>
          <w:tcPr>
            <w:tcW w:type="dxa" w:w="141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9.289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6.248</w:t>
            </w:r>
          </w:p>
        </w:tc>
        <w:tc>
          <w:tcPr>
            <w:tcW w:type="dxa" w:w="141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2.769,5</w:t>
            </w:r>
          </w:p>
        </w:tc>
        <w:tc>
          <w:tcPr>
            <w:tcW w:type="dxa" w:w="113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18,2%</w:t>
            </w:r>
          </w:p>
        </w:tc>
      </w:tr>
      <w:tr>
        <w:tc>
          <w:tcPr>
            <w:tcW w:type="dxa" w:w="3969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Continúan en la meta de septiembre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40.857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15.005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12.428,5</w:t>
            </w:r>
          </w:p>
        </w:tc>
        <w:tc>
          <w:tcPr>
            <w:tcW w:type="dxa" w:w="113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81,8%</w:t>
            </w:r>
          </w:p>
        </w:tc>
      </w:tr>
    </w:tbl>
    <w:p>
      <w:pPr>
        <w:spacing w:before="140" w:after="60"/>
      </w:pPr>
      <w:r>
        <w:rPr>
          <w:rFonts w:ascii="Montserrat" w:hAnsi="Montserrat" w:eastAsia="Montserrat"/>
          <w:b/>
          <w:i w:val="0"/>
          <w:color w:val="0C2340"/>
          <w:sz w:val="25"/>
        </w:rPr>
        <w:t>2.  Cumplimiento por cuartil de gestión</w:t>
      </w:r>
    </w:p>
    <w:p>
      <w:pPr>
        <w:spacing w:after="80" w:before="0" w:line="264" w:lineRule="auto"/>
      </w:pPr>
      <w:r>
        <w:rPr>
          <w:rFonts w:ascii="Open Sans" w:hAnsi="Open Sans" w:eastAsia="Open Sans"/>
          <w:b w:val="0"/>
          <w:i w:val="0"/>
          <w:color w:val="222222"/>
          <w:sz w:val="20"/>
        </w:rPr>
        <w:t>Los cuartiles se leen de la fotografía del cierre de agosto, no de la cartera de hoy: el proceso mensual recalcula la asignación Q en cada corrida y compararla contra la actual mezclaría dos criterios distintos.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3175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Cuartil</w:t>
            </w:r>
          </w:p>
        </w:tc>
        <w:tc>
          <w:tcPr>
            <w:tcW w:type="dxa" w:w="153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Obligaciones</w:t>
            </w:r>
          </w:p>
        </w:tc>
        <w:tc>
          <w:tcPr>
            <w:tcW w:type="dxa" w:w="153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Saldo ($ MM)</w:t>
            </w:r>
          </w:p>
        </w:tc>
        <w:tc>
          <w:tcPr>
            <w:tcW w:type="dxa" w:w="13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Salieron</w:t>
            </w:r>
          </w:p>
        </w:tc>
        <w:tc>
          <w:tcPr>
            <w:tcW w:type="dxa" w:w="170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% cumplimiento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Q1 — mayor antigüedad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7.007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2.436,7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515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7,4%</w:t>
            </w:r>
          </w:p>
        </w:tc>
      </w:tr>
      <w:tr>
        <w:tc>
          <w:tcPr>
            <w:tcW w:type="dxa" w:w="3175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Q2</w:t>
            </w:r>
          </w:p>
        </w:tc>
        <w:tc>
          <w:tcPr>
            <w:tcW w:type="dxa" w:w="153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7.565</w:t>
            </w:r>
          </w:p>
        </w:tc>
        <w:tc>
          <w:tcPr>
            <w:tcW w:type="dxa" w:w="153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2.460,9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725</w:t>
            </w:r>
          </w:p>
        </w:tc>
        <w:tc>
          <w:tcPr>
            <w:tcW w:type="dxa" w:w="170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9,6%</w:t>
            </w:r>
          </w:p>
        </w:tc>
      </w:tr>
      <w:tr>
        <w:tc>
          <w:tcPr>
            <w:tcW w:type="dxa" w:w="3175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Q3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6.955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2.257,8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777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11,2%</w:t>
            </w:r>
          </w:p>
        </w:tc>
      </w:tr>
      <w:tr>
        <w:tc>
          <w:tcPr>
            <w:tcW w:type="dxa" w:w="3175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Q4 — vencimiento reciente</w:t>
            </w:r>
          </w:p>
        </w:tc>
        <w:tc>
          <w:tcPr>
            <w:tcW w:type="dxa" w:w="153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28.619</w:t>
            </w:r>
          </w:p>
        </w:tc>
        <w:tc>
          <w:tcPr>
            <w:tcW w:type="dxa" w:w="153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8.042,5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7.272</w:t>
            </w:r>
          </w:p>
        </w:tc>
        <w:tc>
          <w:tcPr>
            <w:tcW w:type="dxa" w:w="170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25,4%</w:t>
            </w:r>
          </w:p>
        </w:tc>
      </w:tr>
    </w:tbl>
    <w:p>
      <w:pPr>
        <w:spacing w:after="40" w:before="0" w:line="264" w:lineRule="auto"/>
      </w:pP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Lectura principal: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el cumplimiento cae de forma sostenida a medida que aumenta la antigüedad: 25,4% en Q4 contra 7,4% en Q1. La obligación reciente se paga; la vencida hace más de un trimestre requiere una estrategia distinta a la llamada de seguimiento.</w:t>
      </w:r>
    </w:p>
    <w:p>
      <w:pPr>
        <w:spacing w:after="60" w:before="0" w:line="264" w:lineRule="auto"/>
      </w:pPr>
      <w:r>
        <w:rPr>
          <w:rFonts w:ascii="Open Sans" w:hAnsi="Open Sans" w:eastAsia="Open Sans"/>
          <w:b w:val="0"/>
          <w:i/>
          <w:color w:val="898D8D"/>
          <w:sz w:val="17"/>
        </w:rPr>
        <w:t>El cumplimiento se mide por salida completa de la obligación. No es posible medir el abono parcial de agosto: el refresco de saldos entró en operación el 1 de septiembre, de modo que los respaldos previos conservan el saldo de ingreso.</w:t>
      </w:r>
    </w:p>
    <w:p>
      <w:r>
        <w:br w:type="page"/>
      </w:r>
    </w:p>
    <w:p>
      <w:pPr>
        <w:spacing w:before="140" w:after="60"/>
      </w:pPr>
      <w:r>
        <w:rPr>
          <w:rFonts w:ascii="Montserrat" w:hAnsi="Montserrat" w:eastAsia="Montserrat"/>
          <w:b/>
          <w:i w:val="0"/>
          <w:color w:val="0C2340"/>
          <w:sz w:val="25"/>
        </w:rPr>
        <w:t>3.  Gestión del equipo de asesores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61.767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18.716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18 de 21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32,1%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GESTIONES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PERSONAS GESTIONADAS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ASESORES ACTIVOS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EFECTIVIDAD</w:t>
            </w:r>
          </w:p>
        </w:tc>
      </w:tr>
    </w:tbl>
    <w:p>
      <w:pPr>
        <w:spacing w:after="80" w:before="120" w:line="264" w:lineRule="auto"/>
      </w:pPr>
      <w:r>
        <w:rPr>
          <w:rFonts w:ascii="Open Sans" w:hAnsi="Open Sans" w:eastAsia="Open Sans"/>
          <w:b w:val="0"/>
          <w:i w:val="0"/>
          <w:color w:val="222222"/>
          <w:sz w:val="20"/>
        </w:rPr>
        <w:t>Contabilizamos como gestión cada cambio de tipificación registrado dentro del mes sobre cartera efectivamente asignada. La marca de modificación del sistema no sirve para esto: en agosto tocó el 93% de la base por una actualización masiva, que no es trabajo de asesor.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4535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Etapa del embudo</w:t>
            </w:r>
          </w:p>
        </w:tc>
        <w:tc>
          <w:tcPr>
            <w:tcW w:type="dxa" w:w="170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Personas</w:t>
            </w:r>
          </w:p>
        </w:tc>
        <w:tc>
          <w:tcPr>
            <w:tcW w:type="dxa" w:w="30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% sobre la etapa previa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Personas en base asignada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61.953</w:t>
            </w:r>
          </w:p>
        </w:tc>
        <w:tc>
          <w:tcPr>
            <w:tcW w:type="dxa" w:w="30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—</w:t>
            </w:r>
          </w:p>
        </w:tc>
      </w:tr>
      <w:tr>
        <w:tc>
          <w:tcPr>
            <w:tcW w:type="dxa" w:w="4535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Gestionadas en agosto</w:t>
            </w:r>
          </w:p>
        </w:tc>
        <w:tc>
          <w:tcPr>
            <w:tcW w:type="dxa" w:w="170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18.716</w:t>
            </w:r>
          </w:p>
        </w:tc>
        <w:tc>
          <w:tcPr>
            <w:tcW w:type="dxa" w:w="30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30,2%</w:t>
            </w:r>
          </w:p>
        </w:tc>
      </w:tr>
      <w:tr>
        <w:tc>
          <w:tcPr>
            <w:tcW w:type="dxa" w:w="4535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Gestionadas que registraron pago</w:t>
            </w:r>
          </w:p>
        </w:tc>
        <w:tc>
          <w:tcPr>
            <w:tcW w:type="dxa" w:w="170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6.011</w:t>
            </w:r>
          </w:p>
        </w:tc>
        <w:tc>
          <w:tcPr>
            <w:tcW w:type="dxa" w:w="30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32,1%</w:t>
            </w:r>
          </w:p>
        </w:tc>
      </w:tr>
    </w:tbl>
    <w:p>
      <w:pPr>
        <w:spacing w:after="60" w:before="0" w:line="264" w:lineRule="auto"/>
      </w:pPr>
    </w:p>
    <w:p>
      <w:pPr>
        <w:spacing w:after="60" w:before="100" w:line="264" w:lineRule="auto"/>
      </w:pPr>
      <w:r>
        <w:rPr>
          <w:rFonts w:ascii="Montserrat" w:hAnsi="Montserrat" w:eastAsia="Montserrat"/>
          <w:b/>
          <w:i w:val="0"/>
          <w:color w:val="1B365D"/>
          <w:sz w:val="20"/>
        </w:rPr>
        <w:t>Tipificaciones aplicadas en agosto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4309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Tipificación</w:t>
            </w:r>
          </w:p>
        </w:tc>
        <w:tc>
          <w:tcPr>
            <w:tcW w:type="dxa" w:w="147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Gestiones</w:t>
            </w:r>
          </w:p>
        </w:tc>
        <w:tc>
          <w:tcPr>
            <w:tcW w:type="dxa" w:w="13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Personas</w:t>
            </w:r>
          </w:p>
        </w:tc>
        <w:tc>
          <w:tcPr>
            <w:tcW w:type="dxa" w:w="215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% de la gestión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Seguimiento al compromiso de pago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34.020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10.243</w:t>
            </w:r>
          </w:p>
        </w:tc>
        <w:tc>
          <w:tcPr>
            <w:tcW w:type="dxa" w:w="215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55,1%</w:t>
            </w:r>
          </w:p>
        </w:tc>
      </w:tr>
      <w:tr>
        <w:tc>
          <w:tcPr>
            <w:tcW w:type="dxa" w:w="4309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No contesta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15.677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5.566</w:t>
            </w:r>
          </w:p>
        </w:tc>
        <w:tc>
          <w:tcPr>
            <w:tcW w:type="dxa" w:w="215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25,4%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Genera acuerdo de pago verbal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6.647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2.375</w:t>
            </w:r>
          </w:p>
        </w:tc>
        <w:tc>
          <w:tcPr>
            <w:tcW w:type="dxa" w:w="215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10,8%</w:t>
            </w:r>
          </w:p>
        </w:tc>
      </w:tr>
      <w:tr>
        <w:tc>
          <w:tcPr>
            <w:tcW w:type="dxa" w:w="4309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Envío de correo tras llamada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1.332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652</w:t>
            </w:r>
          </w:p>
        </w:tc>
        <w:tc>
          <w:tcPr>
            <w:tcW w:type="dxa" w:w="215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2,2%</w:t>
            </w:r>
          </w:p>
        </w:tc>
      </w:tr>
      <w:tr>
        <w:tc>
          <w:tcPr>
            <w:tcW w:type="dxa" w:w="4309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Confirma pago ya realizado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2.504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2.103</w:t>
            </w:r>
          </w:p>
        </w:tc>
        <w:tc>
          <w:tcPr>
            <w:tcW w:type="dxa" w:w="215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4,1%</w:t>
            </w:r>
          </w:p>
        </w:tc>
      </w:tr>
      <w:tr>
        <w:tc>
          <w:tcPr>
            <w:tcW w:type="dxa" w:w="4309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No hay acuerdo de pago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989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452</w:t>
            </w:r>
          </w:p>
        </w:tc>
        <w:tc>
          <w:tcPr>
            <w:tcW w:type="dxa" w:w="215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1,6%</w:t>
            </w:r>
          </w:p>
        </w:tc>
      </w:tr>
    </w:tbl>
    <w:p>
      <w:pPr>
        <w:spacing w:after="60" w:before="0" w:line="264" w:lineRule="auto"/>
      </w:pP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Dispersión del esfuerzo: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la carga va de 33 a 10.958 gestiones por asesor, con un promedio de 3.431. Un solo asesor concentra el 17,7% de toda la actividad del mes, y tres de los 21 no registraron gestión alguna.</w:t>
      </w: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Contactabilidad efectiva: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una de cada cuatro gestiones (25,4%) termina en «no contesta». Es el mayor punto de fuga del proceso y apunta a calidad del dato de contacto, no a falta de trabajo.</w:t>
      </w:r>
    </w:p>
    <w:p>
      <w:pPr>
        <w:spacing w:before="140" w:after="60"/>
      </w:pPr>
      <w:r>
        <w:rPr>
          <w:rFonts w:ascii="Montserrat" w:hAnsi="Montserrat" w:eastAsia="Montserrat"/>
          <w:b/>
          <w:i w:val="0"/>
          <w:color w:val="0C2340"/>
          <w:sz w:val="25"/>
        </w:rPr>
        <w:t>4.  Cumplimiento por perfil académico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3402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Marca académica</w:t>
            </w:r>
          </w:p>
        </w:tc>
        <w:tc>
          <w:tcPr>
            <w:tcW w:type="dxa" w:w="1417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Obligaciones</w:t>
            </w:r>
          </w:p>
        </w:tc>
        <w:tc>
          <w:tcPr>
            <w:tcW w:type="dxa" w:w="1417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Saldo ($ MM)</w:t>
            </w:r>
          </w:p>
        </w:tc>
        <w:tc>
          <w:tcPr>
            <w:tcW w:type="dxa" w:w="1247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Salieron</w:t>
            </w:r>
          </w:p>
        </w:tc>
        <w:tc>
          <w:tcPr>
            <w:tcW w:type="dxa" w:w="181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% cumpl.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Sin registro de clase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14.959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4.355,0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476</w:t>
            </w:r>
          </w:p>
        </w:tc>
        <w:tc>
          <w:tcPr>
            <w:tcW w:type="dxa" w:w="181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3,2%</w:t>
            </w:r>
          </w:p>
        </w:tc>
      </w:tr>
      <w:tr>
        <w:tc>
          <w:tcPr>
            <w:tcW w:type="dxa" w:w="3402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Gestionable</w:t>
            </w:r>
          </w:p>
        </w:tc>
        <w:tc>
          <w:tcPr>
            <w:tcW w:type="dxa" w:w="141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14.349</w:t>
            </w:r>
          </w:p>
        </w:tc>
        <w:tc>
          <w:tcPr>
            <w:tcW w:type="dxa" w:w="141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5.217,1</w:t>
            </w:r>
          </w:p>
        </w:tc>
        <w:tc>
          <w:tcPr>
            <w:tcW w:type="dxa" w:w="124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3.613</w:t>
            </w:r>
          </w:p>
        </w:tc>
        <w:tc>
          <w:tcPr>
            <w:tcW w:type="dxa" w:w="181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25,2%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Periodo en curso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10.496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2.489,2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2.757</w:t>
            </w:r>
          </w:p>
        </w:tc>
        <w:tc>
          <w:tcPr>
            <w:tcW w:type="dxa" w:w="181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26,3%</w:t>
            </w:r>
          </w:p>
        </w:tc>
      </w:tr>
      <w:tr>
        <w:tc>
          <w:tcPr>
            <w:tcW w:type="dxa" w:w="3402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Periodo perdido, prioridad alta</w:t>
            </w:r>
          </w:p>
        </w:tc>
        <w:tc>
          <w:tcPr>
            <w:tcW w:type="dxa" w:w="141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5.955</w:t>
            </w:r>
          </w:p>
        </w:tc>
        <w:tc>
          <w:tcPr>
            <w:tcW w:type="dxa" w:w="141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1.908,4</w:t>
            </w:r>
          </w:p>
        </w:tc>
        <w:tc>
          <w:tcPr>
            <w:tcW w:type="dxa" w:w="1247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562</w:t>
            </w:r>
          </w:p>
        </w:tc>
        <w:tc>
          <w:tcPr>
            <w:tcW w:type="dxa" w:w="181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9,4%</w:t>
            </w:r>
          </w:p>
        </w:tc>
      </w:tr>
      <w:tr>
        <w:tc>
          <w:tcPr>
            <w:tcW w:type="dxa" w:w="3402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Periodo no ha iniciado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3.980</w:t>
            </w:r>
          </w:p>
        </w:tc>
        <w:tc>
          <w:tcPr>
            <w:tcW w:type="dxa" w:w="141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1.106,3</w:t>
            </w:r>
          </w:p>
        </w:tc>
        <w:tc>
          <w:tcPr>
            <w:tcW w:type="dxa" w:w="1247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1.804</w:t>
            </w:r>
          </w:p>
        </w:tc>
        <w:tc>
          <w:tcPr>
            <w:tcW w:type="dxa" w:w="181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45,3%</w:t>
            </w:r>
          </w:p>
        </w:tc>
      </w:tr>
    </w:tbl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Segmento crítico: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«sin registro de clase» concentra $4.355,0 millones y solo cumplió el 3,2%. Es el grupo más grande de la meta y el que menos responde: sin vínculo académico activo, la gestión de cobro ordinaria no lo mueve.</w:t>
      </w:r>
    </w:p>
    <w:p>
      <w:r>
        <w:br w:type="page"/>
      </w:r>
    </w:p>
    <w:p>
      <w:pPr>
        <w:spacing w:before="140" w:after="60"/>
      </w:pPr>
      <w:r>
        <w:rPr>
          <w:rFonts w:ascii="Montserrat" w:hAnsi="Montserrat" w:eastAsia="Montserrat"/>
          <w:b/>
          <w:i w:val="0"/>
          <w:color w:val="0C2340"/>
          <w:sz w:val="25"/>
        </w:rPr>
        <w:t>5.  Recaudo registrado por el equipo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19.002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11.804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$5.483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Montserrat" w:hAnsi="Montserrat" w:eastAsia="Montserrat"/>
                <w:b/>
                <w:i w:val="0"/>
                <w:color w:val="00859B"/>
                <w:sz w:val="30"/>
              </w:rPr>
              <w:t>$288.642</w:t>
            </w:r>
          </w:p>
        </w:tc>
      </w:tr>
      <w:tr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PAGOS REGISTRADOS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ESTUDIANTES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MILLONES</w:t>
            </w:r>
          </w:p>
        </w:tc>
        <w:tc>
          <w:tcPr>
            <w:tcW w:type="dxa" w:w="2465"/>
          </w:tcPr>
          <w:p>
            <w:pPr>
              <w:spacing w:after="20" w:before="20"/>
              <w:jc w:val="center"/>
            </w:pPr>
            <w:r/>
            <w:r>
              <w:rPr>
                <w:rFonts w:ascii="Open Sans" w:hAnsi="Open Sans" w:eastAsia="Open Sans"/>
                <w:b w:val="0"/>
                <w:i w:val="0"/>
                <w:color w:val="898D8D"/>
                <w:sz w:val="16"/>
              </w:rPr>
              <w:t>TICKET PROMEDIO</w:t>
            </w:r>
          </w:p>
        </w:tc>
      </w:tr>
    </w:tbl>
    <w:p>
      <w:pPr>
        <w:spacing w:after="80" w:before="120" w:line="264" w:lineRule="auto"/>
      </w:pPr>
      <w:r>
        <w:rPr>
          <w:rFonts w:ascii="Open Sans" w:hAnsi="Open Sans" w:eastAsia="Open Sans"/>
          <w:b w:val="0"/>
          <w:i w:val="0"/>
          <w:color w:val="222222"/>
          <w:sz w:val="20"/>
        </w:rPr>
        <w:t>Las cifras de esta sección corresponden a lo que los asesores registraron en el CRM durante agosto sobre cartera asignada. No equivalen al recaudo institucional de caja, que se contabiliza por otra vía.</w:t>
      </w:r>
    </w:p>
    <w:p>
      <w:pPr>
        <w:spacing w:after="60" w:before="0" w:line="264" w:lineRule="auto"/>
      </w:pPr>
      <w:r>
        <w:rPr>
          <w:rFonts w:ascii="Montserrat" w:hAnsi="Montserrat" w:eastAsia="Montserrat"/>
          <w:b/>
          <w:i w:val="0"/>
          <w:color w:val="1B365D"/>
          <w:sz w:val="20"/>
        </w:rPr>
        <w:t>Recaudo por periodo académico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2041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Periodo</w:t>
            </w:r>
          </w:p>
        </w:tc>
        <w:tc>
          <w:tcPr>
            <w:tcW w:type="dxa" w:w="147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Pagos</w:t>
            </w:r>
          </w:p>
        </w:tc>
        <w:tc>
          <w:tcPr>
            <w:tcW w:type="dxa" w:w="164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Estudiantes</w:t>
            </w:r>
          </w:p>
        </w:tc>
        <w:tc>
          <w:tcPr>
            <w:tcW w:type="dxa" w:w="164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Valor ($ MM)</w:t>
            </w:r>
          </w:p>
        </w:tc>
        <w:tc>
          <w:tcPr>
            <w:tcW w:type="dxa" w:w="13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% del valor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26V04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3.316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2.394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1.007,3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18,4%</w:t>
            </w:r>
          </w:p>
        </w:tc>
      </w:tr>
      <w:tr>
        <w:tc>
          <w:tcPr>
            <w:tcW w:type="dxa" w:w="2041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2026C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1.454</w:t>
            </w:r>
          </w:p>
        </w:tc>
        <w:tc>
          <w:tcPr>
            <w:tcW w:type="dxa" w:w="164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928</w:t>
            </w:r>
          </w:p>
        </w:tc>
        <w:tc>
          <w:tcPr>
            <w:tcW w:type="dxa" w:w="164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820,8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15,0%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26V02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2.750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1.595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536,5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9,8%</w:t>
            </w:r>
          </w:p>
        </w:tc>
      </w:tr>
      <w:tr>
        <w:tc>
          <w:tcPr>
            <w:tcW w:type="dxa" w:w="2041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26V03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2.666</w:t>
            </w:r>
          </w:p>
        </w:tc>
        <w:tc>
          <w:tcPr>
            <w:tcW w:type="dxa" w:w="164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1.899</w:t>
            </w:r>
          </w:p>
        </w:tc>
        <w:tc>
          <w:tcPr>
            <w:tcW w:type="dxa" w:w="164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493,0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9,0%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26ES4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1.326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976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480,4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8,8%</w:t>
            </w:r>
          </w:p>
        </w:tc>
      </w:tr>
      <w:tr>
        <w:tc>
          <w:tcPr>
            <w:tcW w:type="dxa" w:w="2041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26ES3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1.461</w:t>
            </w:r>
          </w:p>
        </w:tc>
        <w:tc>
          <w:tcPr>
            <w:tcW w:type="dxa" w:w="164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1.038</w:t>
            </w:r>
          </w:p>
        </w:tc>
        <w:tc>
          <w:tcPr>
            <w:tcW w:type="dxa" w:w="164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417,1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7,6%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Resto de periodos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6.029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—</w:t>
            </w:r>
          </w:p>
        </w:tc>
        <w:tc>
          <w:tcPr>
            <w:tcW w:type="dxa" w:w="164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1.728,8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31,4%</w:t>
            </w:r>
          </w:p>
        </w:tc>
      </w:tr>
    </w:tbl>
    <w:p>
      <w:pPr>
        <w:spacing w:after="60" w:before="0" w:line="264" w:lineRule="auto"/>
      </w:pPr>
    </w:p>
    <w:p>
      <w:pPr>
        <w:spacing w:after="60" w:before="0" w:line="264" w:lineRule="auto"/>
      </w:pPr>
      <w:r>
        <w:rPr>
          <w:rFonts w:ascii="Montserrat" w:hAnsi="Montserrat" w:eastAsia="Montserrat"/>
          <w:b/>
          <w:i w:val="0"/>
          <w:color w:val="1B365D"/>
          <w:sz w:val="20"/>
        </w:rPr>
        <w:t>Distribución del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587"/>
            <w:shd w:val="clear" w:fill="0C2340"/>
          </w:tcPr>
          <w:p>
            <w:pPr>
              <w:spacing w:after="20" w:before="20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Rango</w:t>
            </w:r>
          </w:p>
        </w:tc>
        <w:tc>
          <w:tcPr>
            <w:tcW w:type="dxa" w:w="153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Bajo 100k</w:t>
            </w:r>
          </w:p>
        </w:tc>
        <w:tc>
          <w:tcPr>
            <w:tcW w:type="dxa" w:w="147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100k – 300k</w:t>
            </w:r>
          </w:p>
        </w:tc>
        <w:tc>
          <w:tcPr>
            <w:tcW w:type="dxa" w:w="1474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300k – 600k</w:t>
            </w:r>
          </w:p>
        </w:tc>
        <w:tc>
          <w:tcPr>
            <w:tcW w:type="dxa" w:w="13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600k – 1M</w:t>
            </w:r>
          </w:p>
        </w:tc>
        <w:tc>
          <w:tcPr>
            <w:tcW w:type="dxa" w:w="1361"/>
            <w:shd w:val="clear" w:fill="0C2340"/>
          </w:tcPr>
          <w:p>
            <w:pPr>
              <w:spacing w:after="20" w:before="20"/>
              <w:jc w:val="right"/>
            </w:pPr>
            <w:r/>
            <w:r>
              <w:rPr>
                <w:rFonts w:ascii="Montserrat" w:hAnsi="Montserrat" w:eastAsia="Montserrat"/>
                <w:b/>
                <w:i w:val="0"/>
                <w:color w:val="FFFFFF"/>
                <w:sz w:val="17"/>
              </w:rPr>
              <w:t>Más de 1M</w:t>
            </w:r>
          </w:p>
        </w:tc>
      </w:tr>
      <w:tr>
        <w:tc>
          <w:tcPr>
            <w:tcW w:type="dxa" w:w="1587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Pagos</w:t>
            </w:r>
          </w:p>
        </w:tc>
        <w:tc>
          <w:tcPr>
            <w:tcW w:type="dxa" w:w="153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3.888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8.261</w:t>
            </w:r>
          </w:p>
        </w:tc>
        <w:tc>
          <w:tcPr>
            <w:tcW w:type="dxa" w:w="1474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5.695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722</w:t>
            </w:r>
          </w:p>
        </w:tc>
        <w:tc>
          <w:tcPr>
            <w:tcW w:type="dxa" w:w="1361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433</w:t>
            </w:r>
          </w:p>
        </w:tc>
      </w:tr>
      <w:tr>
        <w:tc>
          <w:tcPr>
            <w:tcW w:type="dxa" w:w="1587"/>
            <w:shd w:val="clear" w:fill="F8F9FA"/>
          </w:tcPr>
          <w:p>
            <w:pPr>
              <w:spacing w:after="20" w:before="20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Valor ($ MM)</w:t>
            </w:r>
          </w:p>
        </w:tc>
        <w:tc>
          <w:tcPr>
            <w:tcW w:type="dxa" w:w="153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61,7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1.669,2</w:t>
            </w:r>
          </w:p>
        </w:tc>
        <w:tc>
          <w:tcPr>
            <w:tcW w:type="dxa" w:w="1474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2.269,9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521,5</w:t>
            </w:r>
          </w:p>
        </w:tc>
        <w:tc>
          <w:tcPr>
            <w:tcW w:type="dxa" w:w="1361"/>
            <w:shd w:val="clear" w:fill="F8F9FA"/>
          </w:tcPr>
          <w:p>
            <w:pPr>
              <w:spacing w:after="20" w:before="20"/>
              <w:jc w:val="right"/>
            </w:pPr>
            <w:r/>
            <w:r>
              <w:rPr>
                <w:rFonts w:ascii="Open Sans" w:hAnsi="Open Sans" w:eastAsia="Open Sans"/>
                <w:b w:val="0"/>
                <w:i w:val="0"/>
                <w:color w:val="222222"/>
                <w:sz w:val="17"/>
              </w:rPr>
              <w:t>961,6</w:t>
            </w:r>
          </w:p>
        </w:tc>
      </w:tr>
    </w:tbl>
    <w:p>
      <w:pPr>
        <w:spacing w:after="60" w:before="0" w:line="264" w:lineRule="auto"/>
      </w:pP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Concentración del valor: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el rango de 300 a 600 mil pesos aporta $2.269,9 millones, el 41,4% del valor con el 30% de los pagos. Es la cuota típica del crédito CLTIENE y donde rinde más el esfuerzo de contacto.</w:t>
      </w:r>
    </w:p>
    <w:p>
      <w:pPr>
        <w:spacing w:before="140" w:after="60"/>
      </w:pPr>
      <w:r>
        <w:rPr>
          <w:rFonts w:ascii="Montserrat" w:hAnsi="Montserrat" w:eastAsia="Montserrat"/>
          <w:b/>
          <w:i w:val="0"/>
          <w:color w:val="0C2340"/>
          <w:sz w:val="25"/>
        </w:rPr>
        <w:t>6.  Observaciones de la Analítica</w:t>
      </w: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Cartera sin responsable: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84.179 registros de 28.619 personas están marcados «reasignar en CRM» o «sin asignar». Es el 27% de la cartera del CRM y ningún asesor la tiene a cargo, de modo que queda fuera de cualquier indicador de gestión. Recomendamos resolver la asignación antes del cierre de septiembre.</w:t>
      </w: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Campos sin diligenciar: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los campos medio de pago, tipo de cartera y regional están sin diligenciar en más del 89% de los registros de pago, lo que impide analizar el recaudo por canal. Es un ajuste de captura en el CRM, no de la analítica.</w:t>
      </w:r>
    </w:p>
    <w:p>
      <w:pPr>
        <w:spacing w:after="60" w:line="259" w:lineRule="auto"/>
        <w:ind w:left="312"/>
      </w:pPr>
      <w:r>
        <w:rPr>
          <w:rFonts w:ascii="Open Sans" w:hAnsi="Open Sans" w:eastAsia="Open Sans"/>
          <w:b/>
          <w:i w:val="0"/>
          <w:color w:val="007A33"/>
          <w:sz w:val="20"/>
        </w:rPr>
        <w:t xml:space="preserve">▪  </w:t>
      </w:r>
      <w:r>
        <w:rPr>
          <w:rFonts w:ascii="Open Sans" w:hAnsi="Open Sans" w:eastAsia="Open Sans"/>
          <w:b/>
          <w:i w:val="0"/>
          <w:color w:val="1B365D"/>
          <w:sz w:val="19"/>
        </w:rPr>
        <w:t xml:space="preserve">Ausencia de histórico: </w:t>
      </w:r>
      <w:r>
        <w:rPr>
          <w:rFonts w:ascii="Open Sans" w:hAnsi="Open Sans" w:eastAsia="Open Sans"/>
          <w:b w:val="0"/>
          <w:i w:val="0"/>
          <w:color w:val="222222"/>
          <w:sz w:val="19"/>
        </w:rPr>
        <w:t>la tabla del CRM es una fotografía del día y se reconstruye en cada corrida. Lo que se tipificó en agosto y se sobrescribió después ya no es visible, por lo que las cifras de gestión son un piso y no un techo.</w:t>
      </w:r>
    </w:p>
    <w:p>
      <w:pPr>
        <w:spacing w:before="120" w:after="0"/>
        <w:ind w:left="85"/>
        <w:pBdr>
          <w:left w:val="single" w:sz="24" w:space="6" w:color="00859B"/>
        </w:pBdr>
        <w:shd w:val="clear" w:fill="F0F4F8"/>
      </w:pPr>
      <w:r>
        <w:rPr>
          <w:rFonts w:ascii="Montserrat" w:hAnsi="Montserrat" w:eastAsia="Montserrat"/>
          <w:b/>
          <w:i w:val="0"/>
          <w:color w:val="0C2340"/>
          <w:sz w:val="21"/>
        </w:rPr>
        <w:t>Recomendación</w:t>
      </w:r>
    </w:p>
    <w:p>
      <w:pPr>
        <w:spacing w:before="0" w:after="20" w:line="259" w:lineRule="auto"/>
        <w:ind w:left="85"/>
        <w:pBdr>
          <w:left w:val="single" w:sz="24" w:space="6" w:color="00859B"/>
        </w:pBdr>
        <w:shd w:val="clear" w:fill="F0F4F8"/>
      </w:pPr>
      <w:r>
        <w:rPr>
          <w:rFonts w:ascii="Open Sans" w:hAnsi="Open Sans" w:eastAsia="Open Sans"/>
          <w:b w:val="0"/>
          <w:i w:val="0"/>
          <w:color w:val="222222"/>
          <w:sz w:val="19"/>
        </w:rPr>
        <w:t>Reasignar los 84.179 registros sin responsable y atacar el segmento «sin registro de clase» con una estrategia distinta a la llamada de seguimiento: concentra $4.355,0 millones y solo respondió el 3,2%.</w:t>
      </w:r>
    </w:p>
    <w:p>
      <w:pPr>
        <w:spacing w:before="0" w:after="120" w:line="259" w:lineRule="auto"/>
        <w:ind w:left="85"/>
        <w:pBdr>
          <w:left w:val="single" w:sz="24" w:space="6" w:color="00859B"/>
        </w:pBdr>
        <w:shd w:val="clear" w:fill="F0F4F8"/>
      </w:pPr>
      <w:r>
        <w:rPr>
          <w:rFonts w:ascii="Open Sans" w:hAnsi="Open Sans" w:eastAsia="Open Sans"/>
          <w:b w:val="0"/>
          <w:i w:val="0"/>
          <w:color w:val="222222"/>
          <w:sz w:val="19"/>
        </w:rPr>
        <w:t>Sobre el 25,4% de gestiones que terminan en «no contesta», priorizar la depuración del dato de contacto antes de aumentar el volumen de llamadas.</w:t>
      </w:r>
    </w:p>
    <w:p>
      <w:pPr>
        <w:spacing w:after="40" w:before="0" w:line="264" w:lineRule="auto"/>
      </w:pPr>
    </w:p>
    <w:p>
      <w:pPr>
        <w:spacing w:after="60" w:before="0" w:line="264" w:lineRule="auto"/>
      </w:pPr>
      <w:r>
        <w:rPr>
          <w:rFonts w:ascii="Open Sans" w:hAnsi="Open Sans" w:eastAsia="Open Sans"/>
          <w:b w:val="0"/>
          <w:i/>
          <w:color w:val="898D8D"/>
          <w:sz w:val="17"/>
        </w:rPr>
        <w:t>Fuentes: [Financiera].[Cartera_Meta_Comercial_Historico] y su snapshot de cierre, y [Financiera].[Cartera_CUN_Asesor_Unico]. Extracción del 2 de septiembre de 2026. Cifras en millones de pesos colombianos.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73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b w:val="0"/>
        <w:i w:val="0"/>
        <w:color w:val="898D8D"/>
        <w:sz w:val="16"/>
      </w:rPr>
      <w:t>Vicerrectoría de Servicios Digitales · Analítica financiera   |   VIGILADA MINEDUCACIÓN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b w:val="0"/>
        <w:i w:val="0"/>
        <w:color w:val="898D8D"/>
        <w:sz w:val="16"/>
      </w:rPr>
      <w:t>Corporación Unificada Nacional de Educación Superior - CUN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 w:eastAsia="Open San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