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alibri" w:hAnsi="Calibri" w:cs="Calibri"/>
          <w:color w:val="1f4e79"/>
          <w:sz w:val="44"/>
          <w:szCs w:val="44"/>
        </w:rPr>
      </w:pPr>
      <w:r/>
      <w:bookmarkStart w:id="0" w:name="_Hlk90371382"/>
      <w:r/>
      <w:bookmarkEnd w:id="0"/>
      <w:r/>
      <w:r>
        <w:rPr>
          <w:rFonts w:ascii="Calibri" w:hAnsi="Calibri" w:cs="Calibri"/>
          <w:color w:val="1f4e79"/>
          <w:sz w:val="44"/>
          <w:szCs w:val="44"/>
        </w:rPr>
        <w:t>Jefferson E. Roy</w:t>
      </w:r>
      <w:r>
        <w:rPr>
          <w:rFonts w:ascii="Calibri" w:hAnsi="Calibri" w:cs="Calibri"/>
          <w:color w:val="1f4e79"/>
          <w:sz w:val="44"/>
          <w:szCs w:val="44"/>
        </w:rPr>
      </w:r>
    </w:p>
    <w:p>
      <w:pPr>
        <w:spacing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spacing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6883400" cy="45085"/>
                <wp:effectExtent l="0" t="0" r="0" b="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ZAAAAE0AAAAAkAAAAEgAAACQAAAASAAAAAAAAAAAAAAAAAAAAAEAAABQAAAAAAAAAAAA4D8AAAAAAADgPwAAAAAAAOA/AAAAAAAA4D8AAAAAAADgPwAAAAAAAOA/AAAAAAAA4D8AAAAAAADgPwAAAAAAAOA/AAAAAAAA4D8CAAAAjAAAAAEAAAAAAAAAnZ2h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IAAAAAIAAAAAAAAAAAAAABAAAAAQAAAAAAAAAAAAAAAgAAAFwAAABYKgAARwAAAAAAAADQAgAAUgYAACgAAAAIAAAAAQAAAAEAAAAwAAAAFAAAAAAAAAAAAP//AAABAAAA//8AAAEA"/>
                          </a:ext>
                        </a:extLst>
                      </wps:cNvSpPr>
                      <wps:spPr>
                        <a:xfrm flipV="1">
                          <a:off x="0" y="0"/>
                          <a:ext cx="6883400" cy="45085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so-position-horizontal:left;margin-top:4.60pt;mso-position-horizontal-relative:margin;width:542.00pt;height:3.55pt;rotation:360.0;z-index:251658253;mso-wrap-distance-left:9.00pt;mso-wrap-distance-top:0.00pt;mso-wrap-distance-right:9.00pt;mso-wrap-distance-bottom:0.00pt;flip:y;mso-wrap-style:square" stroked="f" fillcolor="#9d9da1" v:ext="SMDATA_15_KSydZxMAAAAlAAAAZAAAAE0AAAAAkAAAAEgAAACQAAAASAAAAAAAAAAAAAAAAAAAAAEAAABQAAAAAAAAAAAA4D8AAAAAAADgPwAAAAAAAOA/AAAAAAAA4D8AAAAAAADgPwAAAAAAAOA/AAAAAAAA4D8AAAAAAADgPwAAAAAAAOA/AAAAAAAA4D8CAAAAjAAAAAEAAAAAAAAAnZ2h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IAAAAAIAAAAAAAAAAAAAABAAAAAQAAAAAAAAAAAAAAAgAAAFwAAABYKgAARwAAAAAAAADQAgAAUgYAACgAAAAIAAAAAQAAAAEAAAAwAAAAFAAAAAAAAAAAAP//AAABAAAA//8AAAEA">
                <v:fill color2="#000000" type="solid" angle="90"/>
                <w10:wrap type="none" anchorx="margin" anchory="text"/>
              </v:rect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color w:val="1f4e79"/>
          <w:szCs w:val="24"/>
        </w:rPr>
        <w:t>Neuroscientist</w:t>
      </w:r>
      <w:r>
        <w:rPr>
          <w:rFonts w:ascii="Calibri" w:hAnsi="Calibri" w:cs="Calibri"/>
          <w:sz w:val="22"/>
          <w:szCs w:val="22"/>
        </w:rPr>
        <w:t xml:space="preserve"> with extensive experience in the investigation of goal-directed behavior using electrophysiological recording techniques.  Knowledgeable about grant management and budgeting.  Engaged technical consultant.</w:t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a5a5a5"/>
          <w:sz w:val="22"/>
          <w:szCs w:val="22"/>
        </w:rPr>
      </w:pPr>
      <w:r>
        <w:rPr>
          <w:rFonts w:ascii="Calibri" w:hAnsi="Calibri" w:cs="Calibri"/>
          <w:color w:val="a5a5a5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KEY STRENGTHS</w:t>
      </w:r>
    </w:p>
    <w:tbl>
      <w:tblPr>
        <w:tblStyle w:val="TableGrid"/>
        <w:name w:val="Table1"/>
        <w:tabOrder w:val="0"/>
        <w:jc w:val="left"/>
        <w:tblInd w:w="0" w:type="dxa"/>
        <w:tblW w:w="10790" w:type="dxa"/>
        <w:tblLook w:val="04A0" w:firstRow="1" w:lastRow="0" w:firstColumn="1" w:lastColumn="0" w:noHBand="0" w:noVBand="1"/>
      </w:tblPr>
      <w:tblGrid>
        <w:gridCol w:w="2970"/>
        <w:gridCol w:w="3060"/>
        <w:gridCol w:w="2880"/>
        <w:gridCol w:w="1880"/>
      </w:tblGrid>
      <w:tr>
        <w:trPr>
          <w:tblHeader w:val="0"/>
          <w:cantSplit w:val="0"/>
          <w:trHeight w:val="270" w:hRule="atLeast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Cognitive study design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Mentoring and supervision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consulting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Compliance</w:t>
            </w:r>
          </w:p>
        </w:tc>
      </w:tr>
      <w:tr>
        <w:trPr>
          <w:tblHeader w:val="0"/>
          <w:cantSplit w:val="0"/>
          <w:trHeight w:val="279" w:hRule="atLeast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 vivo recording 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Scientific writing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Science outreach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Budgeting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Matlab and Julia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Presentations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Content creation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8353705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Grant writing</w:t>
            </w:r>
          </w:p>
        </w:tc>
      </w:tr>
    </w:tbl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NEUROSCIENCE EXPERIENCE</w:t>
      </w:r>
    </w:p>
    <w:p>
      <w:pPr>
        <w:spacing/>
        <w:jc w:val="both"/>
        <w:rPr>
          <w:rFonts w:ascii="Calibri" w:hAnsi="Calibri" w:cs="Calibri"/>
          <w:i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kAAAAAoAAAAAAAAAAAAAAAAAAAAAAAANH///8AAAAAAgAAAJoAAACTAQAAAAAAAAAAAADR////ZRE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7" style="position:absolute;mso-position-horizontal-relative:page;width:20.15pt;height:0.00pt;z-index:251658241;mso-wrap-distance-left:9.00pt;mso-wrap-distance-top:0.00pt;mso-wrap-distance-right:9.00pt;mso-wrap-distance-bottom:0.00pt;mso-wrap-style:square" from="-2.35pt,7.70pt" to="17.80pt,7.70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kAAAAAoAAAAAAAAAAAAAAAAAAAAAAAANH///8AAAAAAgAAAJoAAACTAQAAAAAAAAAAAADR////ZRE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Research Scientist III</w:t>
        <w:tab/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2007-present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ab/>
        <w:t>Cambridge, MA, USA</w:t>
      </w:r>
      <w:r>
        <w:rPr>
          <w:rFonts w:ascii="Calibri" w:hAnsi="Calibri" w:cs="Calibri"/>
          <w:i/>
          <w:sz w:val="18"/>
          <w:szCs w:val="18"/>
        </w:rPr>
        <w:tab/>
        <w:t xml:space="preserve">     </w:t>
      </w:r>
      <w:r>
        <w:rPr>
          <w:rFonts w:ascii="Calibri" w:hAnsi="Calibri" w:cs="Calibri"/>
          <w:i/>
          <w:color w:val="000000"/>
          <w:sz w:val="18"/>
          <w:szCs w:val="18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Picower Institute for Learning and Memory at MIT under mentorship of Dr. Earl K. Miller</w:t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Investigating neuronal mechanisms of cognitive flexibility during goal-directed behavior</w:t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and implement multiple electrophysiological non-human primate studies of cognitive behavior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complex neuronal signals and behavior with custom Matlab and Julia scripts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sz w:val="22"/>
          <w:szCs w:val="22"/>
        </w:rPr>
        <w:t>Proficient with chronic array implantation and recordings, acute recordings, EEG recordings, and electrical stimulation</w:t>
      </w:r>
      <w:r>
        <w:rPr>
          <w:rFonts w:ascii="Calibri" w:hAnsi="Calibri" w:cs="Calibri"/>
          <w:b/>
          <w:sz w:val="20"/>
        </w:rPr>
      </w:r>
    </w:p>
    <w:p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AAAAAAoAAAAAAAAAAAAAAAAAAAAAAAANf///8AAAAAAgAAAK8AAACTAQAAAAAAAAAAAADX////v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8" style="position:absolute;mso-position-horizontal-relative:page;width:20.15pt;height:0.00pt;z-index:251658242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AAAAAAoAAAAAAAAAAAAAAAAAAAAAAAANf///8AAAAAAgAAAK8AAACTAQAAAAAAAAAAAADX////vBg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 xml:space="preserve">Associate Lab Director of Miller Lab  </w:t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2013-present </w:t>
      </w:r>
      <w:r>
        <w:rPr>
          <w:rFonts w:ascii="Calibri" w:hAnsi="Calibri" w:cs="Calibri"/>
          <w:i/>
          <w:sz w:val="22"/>
          <w:szCs w:val="22"/>
        </w:rPr>
        <w:tab/>
        <w:t xml:space="preserve">               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Picower Institute for Learning and Memory at MIT 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and teach surgical procedures (e.g. headposts, acute recording chambers, chronic arrays)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Collaborative mentor to new postdoctoral researchers and graduate students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 budgetary compliance per MIT, NIH, NSF, and industry guidelines</w:t>
      </w:r>
    </w:p>
    <w:p>
      <w:pPr>
        <w:pStyle w:val="para1"/>
        <w:numPr>
          <w:ilvl w:val="0"/>
          <w:numId w:val="15"/>
        </w:numPr>
        <w:ind w:left="144" w:hanging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Ensure biosafety and animal use compliance per MIT, USDA, and AAALAC guidelines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 grant applications and progress reports 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Member of MIT Compassion Fatigue Committee (2024-present)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kAAAAAoAAAAAAAAAAAAAAAAAAAAAAAANf///8AAAAAAgAAAK8AAACTAQAAAAAAAAAAAADX////MSI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9" style="position:absolute;mso-position-horizontal-relative:page;width:20.15pt;height:0.00pt;z-index:251658243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kAAAAAoAAAAAAAAAAAAAAAAAAAAAAAANf///8AAAAAAgAAAK8AAACTAQAAAAAAAAAAAADX////MSI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 xml:space="preserve">Postdoctoral Associate  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2002-2007 </w:t>
      </w:r>
      <w:r>
        <w:rPr>
          <w:rFonts w:ascii="Calibri" w:hAnsi="Calibri" w:cs="Calibri"/>
          <w:i/>
          <w:sz w:val="22"/>
          <w:szCs w:val="22"/>
        </w:rPr>
        <w:tab/>
        <w:t xml:space="preserve">                Cambridge, MA, USA</w:t>
      </w:r>
      <w:r>
        <w:rPr>
          <w:rFonts w:ascii="Calibri" w:hAnsi="Calibri" w:cs="Calibri"/>
          <w:i/>
          <w:color w:val="000000"/>
          <w:sz w:val="18"/>
          <w:szCs w:val="18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Picower Institute for Learning and Memory at MIT under mentorship of Dr. Earl K. Miller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wAAAAAoAAAAAAAAAAAAAAAAAAAAAAAANf///8AAAAAAgAAAK8AAACTAQAAAAAAAAAAAADX////WCU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30" style="position:absolute;mso-position-horizontal-relative:page;width:20.15pt;height:0.00pt;z-index:251658244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wAAAAAoAAAAAAAAAAAAAAAAAAAAAAAANf///8AAAAAAgAAAK8AAACTAQAAAAAAAAAAAADX////WCU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Graduate Student</w:t>
        <w:tab/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1995-2002</w:t>
        <w:tab/>
        <w:t xml:space="preserve">           </w:t>
        <w:tab/>
        <w:t xml:space="preserve"> Montréal, QC, Canada</w:t>
      </w:r>
      <w:r>
        <w:rPr>
          <w:rFonts w:ascii="Calibri" w:hAnsi="Calibri" w:cs="Calibri"/>
          <w:b/>
          <w:sz w:val="22"/>
          <w:szCs w:val="22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McGill University Department of Physiology with Dr. Kathleen E. Cullen     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13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Investigated neuronal control of the VOR, VCR, and eye movements in alert behaving non-human primates</w:t>
      </w:r>
    </w:p>
    <w:p>
      <w:pPr>
        <w:pStyle w:val="para1"/>
        <w:numPr>
          <w:ilvl w:val="0"/>
          <w:numId w:val="13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complex neuronal signals and behavior with custom Matlab scripts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CONSULTING</w:t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AoAAAAAAAAAAAAAAAAAAAAAAAANf///8AAAAAAgAAAK8AAACTAQAAAAAAAAAAAADX////vis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31" style="position:absolute;mso-position-horizontal-relative:page;width:20.15pt;height:0.00pt;z-index:251658245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AoAAAAAAAAAAAAAAAAAAAAAAAANf///8AAAAAAgAAAK8AAACTAQAAAAAAAAAAAADX////vis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Muddled Mind Consulting LLC.</w:t>
        <w:tab/>
      </w:r>
      <w:r>
        <w:rPr>
          <w:rFonts w:ascii="Calibri" w:hAnsi="Calibri" w:cs="Calibri"/>
          <w:sz w:val="22"/>
          <w:szCs w:val="22"/>
        </w:rPr>
        <w:t>(Founder)</w:t>
      </w:r>
      <w:r>
        <w:rPr>
          <w:rFonts w:ascii="Calibri" w:hAnsi="Calibri" w:cs="Calibri"/>
          <w:b/>
          <w:sz w:val="22"/>
          <w:szCs w:val="22"/>
        </w:rPr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2013-present            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8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neuroscience technical consulting services to companies that includes writing whitepapers, data analysis, grant writing and editing, scripts/storyboards, educational content creation, and instruction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EDUCATION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YAAAAAoAAAAAAAAAAAAAAAAAAAAAAAANf///8AAAAAAgAAAK8AAACTAQAAAAAAAAAAAADX/////j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32" style="position:absolute;mso-position-horizontal-relative:page;width:20.15pt;height:0.00pt;z-index:251658246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YAAAAAoAAAAAAAAAAAAAAAAAAAAAAAANf///8AAAAAAgAAAK8AAACTAQAAAAAAAAAAAADX/////jA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McGill University</w:t>
      </w:r>
      <w:r>
        <w:rPr>
          <w:rFonts w:ascii="Calibri" w:hAnsi="Calibri" w:cs="Calibri"/>
          <w:sz w:val="22"/>
          <w:szCs w:val="22"/>
        </w:rPr>
        <w:t>, Ph.D. in Physiology (Dean’s Honours List)</w:t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Montréal, QC, Canada</w:t>
      </w: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i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AoAAAAAAAAAAAAAAAAAAAAAAAANf///8AAAAAAgAAAK8AAACTAQAAAAAAAAAAAADX////GD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33" style="position:absolute;mso-position-horizontal-relative:page;width:20.15pt;height:0.00pt;z-index:251658247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AoAAAAAAAAAAAAAAAAAAAAAAAANf///8AAAAAAgAAAK8AAACTAQAAAAAAAAAAAADX////GDM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University of Western Ontario</w:t>
      </w:r>
      <w:r>
        <w:rPr>
          <w:rFonts w:ascii="Calibri" w:hAnsi="Calibri" w:cs="Calibri"/>
          <w:sz w:val="22"/>
          <w:szCs w:val="22"/>
        </w:rPr>
        <w:t>, B.Sc. in Physiology (Honours List)</w:t>
      </w:r>
      <w:r>
        <w:rPr>
          <w:rFonts w:ascii="Calibri" w:hAnsi="Calibri" w:cs="Calibri"/>
          <w:b/>
          <w:sz w:val="22"/>
          <w:szCs w:val="22"/>
        </w:rPr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London, ON, Canad</w:t>
      </w:r>
      <w:r>
        <w:rPr>
          <w:rFonts w:ascii="Calibri" w:hAnsi="Calibri" w:cs="Calibri"/>
          <w:i/>
          <w:sz w:val="22"/>
          <w:szCs w:val="22"/>
        </w:rPr>
        <w:t>a</w:t>
      </w:r>
      <w:r>
        <w:rPr>
          <w:rFonts w:ascii="Calibri" w:hAnsi="Calibri" w:cs="Calibri"/>
          <w:i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COURSES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ge">
                  <wp:posOffset>8825865</wp:posOffset>
                </wp:positionV>
                <wp:extent cx="255905" cy="0"/>
                <wp:effectExtent l="12700" t="12700" r="12700" b="12700"/>
                <wp:wrapNone/>
                <wp:docPr id="14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AoAAAAAAAAAAAAAAAAAAAAAAAANf///8AAAAAAAAAAEs2AACTAQAAAAAAAAAAAADX////SzY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4" style="position:absolute;mso-position-horizontal-relative:page;mso-position-vertical-relative:page;width:20.15pt;height:0.00pt;z-index:251658254;mso-wrap-distance-left:9.00pt;mso-wrap-distance-top:0.00pt;mso-wrap-distance-right:9.00pt;mso-wrap-distance-bottom:0.00pt;mso-wrap-style:square" from="-2.05pt,694.95pt" to="18.10pt,694.9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AoAAAAAAAAAAAAAAAAAAAAAAAANf///8AAAAAAAAAAEs2AACTAQAAAAAAAAAAAADX////SzYAACgAAAAIAAAAAQAAAAEAAAAwAAAAFAAAAAAAAAAAAP//AAABAAAA//8AAAEA">
                <w10:wrap type="none" anchorx="page" anchory="page"/>
              </v:lin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</w:rPr>
        <w:t xml:space="preserve">Google Project Management Certificate: by Google on Coursera                </w:t>
      </w:r>
      <w:r>
        <w:rPr>
          <w:rFonts w:ascii="Calibri" w:hAnsi="Calibri" w:eastAsia="Calibri" w:cs="Calibri"/>
          <w:i/>
          <w:iCs/>
          <w:sz w:val="22"/>
          <w:szCs w:val="22"/>
        </w:rPr>
        <w:t>2024</w:t>
      </w:r>
      <w:r>
        <w:rPr>
          <w:rFonts w:ascii="Calibri" w:hAnsi="Calibri" w:eastAsia="Calibri" w:cs="Calibri"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 xml:space="preserve">OUTREACH 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1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4AAAAAoAAAAAAAAAAAAAAAAAAAAAAAANf///8AAAAAAgAAAK8AAACTAQAAAAAAAAAAAADX////ljk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35" style="position:absolute;mso-position-horizontal-relative:page;width:20.15pt;height:0.00pt;z-index:251658251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4AAAAAoAAAAAAAAAAAAAAAAAAAAAAAANf///8AAAAAAgAAAK8AAACTAQAAAAAAAAAAAADX////ljk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The Innovation Institute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2019-2021</w:t>
        <w:tab/>
        <w:tab/>
        <w:t>Newton, MA, USA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7"/>
        </w:numPr>
        <w:ind w:left="144" w:hanging="144"/>
        <w:tabs defTabSz="720">
          <w:tab w:val="left" w:pos="185" w:leader="none"/>
          <w:tab w:val="left" w:pos="265" w:leader="none"/>
          <w:tab w:val="left" w:pos="358" w:leader="none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Instruction of grade 4-5 students in hands-on science exploration of body systems (e.g. muscles, CNS, bones)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1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AAAAAIoAAAAAAAAAAAAAAAAAAAAAAAANf///8AAAAAAgAAAK8AAACTAQAAAAAAAAEAAADX/////Q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36" style="position:absolute;mso-position-horizontal-relative:page;width:20.15pt;height:0.00pt;z-index:251658252;mso-wrap-distance-left:9.00pt;mso-wrap-distance-top:0.00pt;mso-wrap-distance-right:9.00pt;mso-wrap-distance-bottom:0.00pt;mso-wrap-style:square" from="-2.05pt,8.75pt" to="18.10pt,8.75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AAAAAIoAAAAAAAAAAAAAAAAAAAAAAAANf///8AAAAAAgAAAK8AAACTAQAAAAAAAAEAAADX/////QQ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Science from Scientists</w:t>
      </w:r>
      <w:r>
        <w:rPr>
          <w:rFonts w:ascii="Calibri" w:hAnsi="Calibri" w:cs="Calibri"/>
          <w:sz w:val="22"/>
          <w:szCs w:val="22"/>
        </w:rPr>
        <w:t xml:space="preserve">  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2014-2017                     </w:t>
        <w:tab/>
        <w:t>Bedford, MA, USA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7"/>
        </w:numPr>
        <w:ind w:left="144" w:hanging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Taught engaging lessons to 4th grade students with the mission to improve attitudes and aptitudes in STEM fields.</w:t>
      </w:r>
    </w:p>
    <w:p>
      <w:pPr>
        <w:pStyle w:val="para1"/>
        <w:ind w:left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MAAAAIoAAAAAAAAAAAAAAAAAAAAAAAANH///8AAAAAAgAAAJoAAACTAQAAAAAAAAEAAADR////Dw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37" style="position:absolute;mso-position-horizontal-relative:page;width:20.15pt;height:0.00pt;z-index:251658248;mso-wrap-distance-left:9.00pt;mso-wrap-distance-top:0.00pt;mso-wrap-distance-right:9.00pt;mso-wrap-distance-bottom:0.00pt;mso-wrap-style:square" from="-2.35pt,7.70pt" to="17.80pt,7.70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MAAAAIoAAAAAAAAAAAAAAAAAAAAAAAANH///8AAAAAAgAAAJoAAACTAQAAAAAAAAEAAADR////Dwg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Judge for Middle and High Schools Science Fairs</w:t>
      </w:r>
    </w:p>
    <w:p>
      <w:pPr>
        <w:pStyle w:val="para1"/>
        <w:numPr>
          <w:ilvl w:val="0"/>
          <w:numId w:val="3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Boston Public School Citywide Science Fair </w:t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2016-2017</w:t>
      </w:r>
      <w:r>
        <w:rPr>
          <w:rFonts w:ascii="Calibri" w:hAnsi="Calibri" w:cs="Calibri"/>
          <w:i/>
          <w:sz w:val="22"/>
          <w:szCs w:val="22"/>
        </w:rPr>
        <w:t>, 2023</w:t>
      </w:r>
      <w:r>
        <w:rPr>
          <w:rFonts w:ascii="Calibri" w:hAnsi="Calibri" w:cs="Calibri"/>
          <w:i/>
          <w:sz w:val="22"/>
          <w:szCs w:val="22"/>
        </w:rPr>
        <w:t>-24</w:t>
      </w:r>
      <w:r>
        <w:rPr>
          <w:rFonts w:ascii="Calibri" w:hAnsi="Calibri" w:cs="Calibri"/>
          <w:i/>
          <w:sz w:val="22"/>
          <w:szCs w:val="22"/>
        </w:rPr>
        <w:t xml:space="preserve">              Boston,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3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Massachusetts State High School Science and Engineering Fair     </w:t>
        <w:tab/>
      </w:r>
      <w:r>
        <w:rPr>
          <w:rFonts w:ascii="Calibri" w:hAnsi="Calibri" w:cs="Calibri"/>
          <w:i/>
          <w:sz w:val="22"/>
          <w:szCs w:val="22"/>
        </w:rPr>
        <w:t>2009-202</w:t>
      </w:r>
      <w:r>
        <w:rPr>
          <w:rFonts w:ascii="Calibri" w:hAnsi="Calibri" w:cs="Calibri"/>
          <w:i/>
          <w:sz w:val="22"/>
          <w:szCs w:val="22"/>
        </w:rPr>
        <w:t>3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PUBLICATIONS</w:t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gAAAAIoAAAAAAAAAAAAAAAAAAAAAAAANH///8AAAAAAgAAAJoAAACTAQAAAAAAAAEAAADR////aA0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38" style="position:absolute;mso-position-horizontal-relative:page;width:20.15pt;height:0.00pt;z-index:251658249;mso-wrap-distance-left:9.00pt;mso-wrap-distance-top:0.00pt;mso-wrap-distance-right:9.00pt;mso-wrap-distance-bottom:0.00pt;mso-wrap-style:square" from="-2.35pt,7.70pt" to="17.80pt,7.70pt" strokeweight="1.00pt" strokecolor="#5b9bd5" filled="f" v:ext="SMDATA_15_KSydZ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gAAAAIoAAAAAAAAAAAAAAAAAAAAAAAANH///8AAAAAAgAAAJoAAACTAQAAAAAAAAEAAADR////aA0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Book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Bundgaard, M.H. and Roy, J.E., The Motivated Brain. Coppenhagen:CreateSpace, 2014.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sAAAAIoAAAAAAAAAAAAAAAAAAAAAAAANH///8AAAAAAgAAAJoAAACTAQAAAAAAAAEAAADR////jx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39" style="position:absolute;mso-position-horizontal-relative:page;width:20.15pt;height:0.00pt;z-index:251658250;mso-wrap-distance-left:9.00pt;mso-wrap-distance-top:0.00pt;mso-wrap-distance-right:9.00pt;mso-wrap-distance-bottom:0.00pt;mso-wrap-style:square" from="-2.35pt,7.70pt" to="17.80pt,7.70pt" strokeweight="1.00pt" strokecolor="#5b9bd5" filled="f" v:ext="SMDATA_15_KSyd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sAAAAIoAAAAAAAAAAAAAAAAAAAAAAAANH///8AAAAAAgAAAJoAAACTAQAAAAAAAAEAAADR////jxA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Scientific Manuscripts</w:t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Miller, E.K., Brincat, S.L., and </w:t>
      </w:r>
      <w:r>
        <w:rPr>
          <w:rFonts w:ascii="Calibri" w:hAnsi="Calibri" w:cs="Calibri"/>
          <w:b/>
          <w:bCs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 Cognition is an emergent property. </w:t>
      </w:r>
      <w:r>
        <w:rPr>
          <w:rFonts w:ascii="Calibri" w:hAnsi="Calibri" w:cs="Calibri"/>
          <w:i/>
          <w:sz w:val="22"/>
          <w:szCs w:val="22"/>
        </w:rPr>
        <w:t>Curr. Opin. Behav. Sci.</w:t>
      </w:r>
      <w:r>
        <w:rPr>
          <w:rFonts w:ascii="Calibri" w:hAnsi="Calibri" w:cs="Calibri"/>
          <w:iCs/>
          <w:sz w:val="22"/>
          <w:szCs w:val="22"/>
        </w:rPr>
        <w:t>, in press, 2024.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Bastos, A.M., Donoghue, J.A., Brincat, S.L., Mahnke, M., Yanar, J., Correa, J., Waite, A.S., Lundqvist, M., </w:t>
      </w:r>
      <w:r>
        <w:rPr>
          <w:rFonts w:ascii="Calibri" w:hAnsi="Calibri" w:cs="Calibri"/>
          <w:b/>
          <w:iCs/>
          <w:sz w:val="22"/>
          <w:szCs w:val="22"/>
        </w:rPr>
        <w:t>Roy, J.</w:t>
      </w:r>
      <w:r>
        <w:rPr>
          <w:rFonts w:ascii="Calibri" w:hAnsi="Calibri" w:cs="Calibri"/>
          <w:iCs/>
          <w:sz w:val="22"/>
          <w:szCs w:val="22"/>
        </w:rPr>
        <w:t xml:space="preserve">, Brown, E.N. and Miller, E.K. Neural effects of propofol-induced unconsciousness and its reversal using thalamic stimulation. </w:t>
      </w:r>
      <w:r>
        <w:rPr>
          <w:rFonts w:ascii="Calibri" w:hAnsi="Calibri" w:cs="Calibri"/>
          <w:i/>
          <w:sz w:val="22"/>
          <w:szCs w:val="22"/>
        </w:rPr>
        <w:t>eLife</w:t>
      </w:r>
      <w:r>
        <w:rPr>
          <w:rFonts w:ascii="Calibri" w:hAnsi="Calibri" w:cs="Calibri"/>
          <w:iCs/>
          <w:sz w:val="22"/>
          <w:szCs w:val="22"/>
        </w:rPr>
        <w:t>, DOI: 10.7554/eLife.60824</w:t>
      </w:r>
      <w:r>
        <w:rPr>
          <w:rFonts w:ascii="Calibri" w:hAnsi="Calibri" w:cs="Calibri"/>
          <w:iCs/>
          <w:sz w:val="22"/>
          <w:szCs w:val="22"/>
        </w:rPr>
        <w:t>, 2021.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Tiganj, Z., Cromer, J.A.,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Miller, E.K., and Howard, M.W. Compressed Timeline of Recent Experience in Monkey lPFC. </w:t>
      </w:r>
      <w:r>
        <w:rPr>
          <w:rFonts w:ascii="Calibri" w:hAnsi="Calibri" w:cs="Calibri"/>
          <w:i/>
          <w:iCs/>
          <w:sz w:val="22"/>
          <w:szCs w:val="22"/>
        </w:rPr>
        <w:t>J.Cogn. Neurosci</w:t>
      </w:r>
      <w:r>
        <w:rPr>
          <w:rFonts w:ascii="Calibri" w:hAnsi="Calibri" w:cs="Calibri"/>
          <w:iCs/>
          <w:sz w:val="22"/>
          <w:szCs w:val="22"/>
        </w:rPr>
        <w:t>, 1-16, 2018.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Wutz, A., Loonis, R.,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Donoghue, J.A., and Miller, E.K. Different levels of category abstraction by different dynamics in different prefrontal areas. </w:t>
      </w:r>
      <w:r>
        <w:rPr>
          <w:rFonts w:ascii="Calibri" w:hAnsi="Calibri" w:cs="Calibri"/>
          <w:i/>
          <w:iCs/>
          <w:sz w:val="22"/>
          <w:szCs w:val="22"/>
        </w:rPr>
        <w:t xml:space="preserve">Neuron, </w:t>
      </w:r>
      <w:r>
        <w:rPr>
          <w:rFonts w:ascii="Calibri" w:hAnsi="Calibri" w:cs="Calibri"/>
          <w:iCs/>
          <w:sz w:val="22"/>
          <w:szCs w:val="22"/>
        </w:rPr>
        <w:t>97, 716-726, 2018.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Stanley, D.A.,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Aoi, M.C., Kopell, N.J., and Miller, E.K. Low-beta Oscillations Turn Up the Gain During Category Judgments. </w:t>
      </w:r>
      <w:r>
        <w:rPr>
          <w:rFonts w:ascii="Calibri" w:hAnsi="Calibri" w:cs="Calibri"/>
          <w:i/>
          <w:iCs/>
          <w:sz w:val="22"/>
          <w:szCs w:val="22"/>
        </w:rPr>
        <w:t>Cerebral Cortex</w:t>
      </w:r>
      <w:r>
        <w:rPr>
          <w:rFonts w:ascii="Calibri" w:hAnsi="Calibri" w:cs="Calibri"/>
          <w:iCs/>
          <w:sz w:val="22"/>
          <w:szCs w:val="22"/>
        </w:rPr>
        <w:t>, 28, 116-130, 2018.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Buschman, T.J., and Miller, E.K. Prefrontal Cortex Neurons Reflect Categorical Decisions About </w:t>
      </w:r>
      <w:r>
        <w:rPr>
          <w:rFonts w:ascii="Calibri" w:hAnsi="Calibri" w:cs="Calibri"/>
          <w:iCs/>
          <w:sz w:val="22"/>
          <w:szCs w:val="22"/>
          <w:lang w:val="fr-ca"/>
        </w:rPr>
        <w:t xml:space="preserve">Ambiguous Stimuli. </w:t>
      </w:r>
      <w:r>
        <w:rPr>
          <w:rFonts w:ascii="Calibri" w:hAnsi="Calibri" w:cs="Calibri"/>
          <w:i/>
          <w:iCs/>
          <w:sz w:val="22"/>
          <w:szCs w:val="22"/>
          <w:lang w:val="fr-ca"/>
        </w:rPr>
        <w:t>J.Cogn. Neurosci</w:t>
      </w:r>
      <w:r>
        <w:rPr>
          <w:rFonts w:ascii="Calibri" w:hAnsi="Calibri" w:cs="Calibri"/>
          <w:iCs/>
          <w:sz w:val="22"/>
          <w:szCs w:val="22"/>
          <w:lang w:val="fr-ca"/>
        </w:rPr>
        <w:t>, 26, 1283-1291, 2014.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Buschman, T.J., Siegel, M.,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and Miller, E.K. Neural Substrates of Cognitive Capacity Limitations. </w:t>
      </w:r>
      <w:r>
        <w:rPr>
          <w:rFonts w:ascii="Calibri" w:hAnsi="Calibri" w:cs="Calibri"/>
          <w:i/>
          <w:iCs/>
          <w:sz w:val="22"/>
          <w:szCs w:val="22"/>
        </w:rPr>
        <w:t>PNAS</w:t>
      </w:r>
      <w:r>
        <w:rPr>
          <w:rFonts w:ascii="Calibri" w:hAnsi="Calibri" w:cs="Calibri"/>
          <w:iCs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108, 11252-11255, 2011</w:t>
      </w:r>
      <w:r>
        <w:rPr>
          <w:rFonts w:ascii="Calibri" w:hAnsi="Calibri" w:cs="Calibri"/>
          <w:iCs/>
          <w:sz w:val="22"/>
          <w:szCs w:val="22"/>
        </w:rPr>
        <w:t xml:space="preserve">. 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Cromer, J.,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>, Buschman, T.J., and Miller, E.K.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Comparison of Primate Prefrontal and Premotor Cortex Neuronal Activity During Visual Categorization. </w:t>
      </w:r>
      <w:r>
        <w:rPr>
          <w:rFonts w:ascii="Calibri" w:hAnsi="Calibri" w:cs="Calibri"/>
          <w:i/>
          <w:iCs/>
          <w:sz w:val="22"/>
          <w:szCs w:val="22"/>
        </w:rPr>
        <w:t xml:space="preserve">J. </w:t>
      </w:r>
      <w:r>
        <w:rPr>
          <w:rFonts w:ascii="Calibri" w:hAnsi="Calibri" w:cs="Calibri"/>
          <w:i/>
          <w:iCs/>
          <w:sz w:val="22"/>
          <w:szCs w:val="22"/>
        </w:rPr>
        <w:t>Cogn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>Neurosci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Calibri" w:hAnsi="Calibri" w:cs="Calibri"/>
          <w:iCs/>
          <w:sz w:val="22"/>
          <w:szCs w:val="22"/>
        </w:rPr>
        <w:t>23, 3355-3365, 2011.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Riesenhuber, M., Poggio, T., and Miller, E.K. Prefrontal Cortex Activity during Flexible Categorization. </w:t>
      </w:r>
      <w:r>
        <w:rPr>
          <w:rFonts w:ascii="Calibri" w:hAnsi="Calibri" w:cs="Calibri"/>
          <w:i/>
          <w:iCs/>
          <w:sz w:val="22"/>
          <w:szCs w:val="22"/>
        </w:rPr>
        <w:t xml:space="preserve">J. </w:t>
      </w:r>
      <w:r>
        <w:rPr>
          <w:rFonts w:ascii="Calibri" w:hAnsi="Calibri" w:cs="Calibri"/>
          <w:i/>
          <w:iCs/>
          <w:sz w:val="22"/>
          <w:szCs w:val="22"/>
        </w:rPr>
        <w:t>Neurosci</w:t>
      </w:r>
      <w:r>
        <w:rPr>
          <w:rFonts w:ascii="Calibri" w:hAnsi="Calibri" w:cs="Calibri"/>
          <w:i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30, 8519-8528, 2010.</w:t>
      </w:r>
      <w:r>
        <w:rPr>
          <w:rFonts w:ascii="Calibri" w:hAnsi="Calibri" w:cs="Calibri"/>
          <w:i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Cromer, J.,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and Miller, E.K. Representation of Multiple, Independent Categories in the Primate Prefrontal Cortex. </w:t>
      </w:r>
      <w:r>
        <w:rPr>
          <w:rFonts w:ascii="Calibri" w:hAnsi="Calibri" w:cs="Calibri"/>
          <w:i/>
          <w:iCs/>
          <w:sz w:val="22"/>
          <w:szCs w:val="22"/>
        </w:rPr>
        <w:t>Neuron</w:t>
      </w:r>
      <w:r>
        <w:rPr>
          <w:rFonts w:ascii="Calibri" w:hAnsi="Calibri" w:cs="Calibri"/>
          <w:iCs/>
          <w:sz w:val="22"/>
          <w:szCs w:val="22"/>
        </w:rPr>
        <w:t xml:space="preserve"> 66, 796-807, 2010.</w:t>
        <w:tab/>
      </w:r>
      <w:r>
        <w:rPr>
          <w:rFonts w:ascii="Calibri" w:hAnsi="Calibri" w:cs="Calibri"/>
          <w:iCs/>
          <w:sz w:val="22"/>
          <w:szCs w:val="22"/>
        </w:rPr>
      </w:r>
    </w:p>
    <w:p>
      <w:pPr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Cullen, K.E. and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 Signal Processing in the Vestibular System during Active versus Passive Head Movements. </w:t>
      </w:r>
      <w:r>
        <w:rPr>
          <w:rFonts w:ascii="Calibri" w:hAnsi="Calibri" w:cs="Calibri"/>
          <w:i/>
          <w:iCs/>
          <w:sz w:val="22"/>
          <w:szCs w:val="22"/>
        </w:rPr>
        <w:t xml:space="preserve">J. Neurophysiol. </w:t>
      </w:r>
      <w:r>
        <w:rPr>
          <w:rFonts w:ascii="Calibri" w:hAnsi="Calibri" w:cs="Calibri"/>
          <w:iCs/>
          <w:sz w:val="22"/>
          <w:szCs w:val="22"/>
        </w:rPr>
        <w:t>91, 1919-1933, 2004.</w:t>
      </w:r>
      <w:r>
        <w:rPr>
          <w:rFonts w:ascii="Calibri" w:hAnsi="Calibri" w:cs="Calibri"/>
          <w:iCs/>
          <w:sz w:val="22"/>
          <w:szCs w:val="22"/>
        </w:rPr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Dissociating Self-Generated from Passively Applied Head Motion: Neural Mechanisms in the Vestibular Nuclei. </w:t>
      </w:r>
      <w:r>
        <w:rPr>
          <w:rFonts w:ascii="Calibri" w:hAnsi="Calibri" w:cs="Calibri"/>
          <w:i/>
          <w:sz w:val="22"/>
          <w:szCs w:val="22"/>
        </w:rPr>
        <w:t xml:space="preserve">J. Neurosci. </w:t>
      </w:r>
      <w:r>
        <w:rPr>
          <w:rFonts w:ascii="Calibri" w:hAnsi="Calibri" w:cs="Calibri"/>
          <w:sz w:val="22"/>
          <w:szCs w:val="22"/>
        </w:rPr>
        <w:t>24, 2102-2111, 2004.</w:t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Brain Stem Pursuit Pathways: Dissociating Visual, Vestibular, and Proprioceptive Inputs during Combined Eye-Head Gaze Tracking. </w:t>
      </w:r>
      <w:r>
        <w:rPr>
          <w:rFonts w:ascii="Calibri" w:hAnsi="Calibri" w:cs="Calibri"/>
          <w:i/>
          <w:sz w:val="22"/>
          <w:szCs w:val="22"/>
        </w:rPr>
        <w:t>J.Neurophysiol.</w:t>
      </w:r>
      <w:r>
        <w:rPr>
          <w:rFonts w:ascii="Calibri" w:hAnsi="Calibri" w:cs="Calibri"/>
          <w:sz w:val="22"/>
          <w:szCs w:val="22"/>
        </w:rPr>
        <w:t xml:space="preserve"> 90: 271-290, 2003.</w:t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Vestibuloocular Reflex Signal Modulation During Voluntary versus Passive Head Movements. </w:t>
      </w:r>
      <w:r>
        <w:rPr>
          <w:rFonts w:ascii="Calibri" w:hAnsi="Calibri" w:cs="Calibri"/>
          <w:i/>
          <w:sz w:val="22"/>
          <w:szCs w:val="22"/>
        </w:rPr>
        <w:t xml:space="preserve">J. Neurophysiol. </w:t>
      </w:r>
      <w:r>
        <w:rPr>
          <w:rFonts w:ascii="Calibri" w:hAnsi="Calibri" w:cs="Calibri"/>
          <w:sz w:val="22"/>
          <w:szCs w:val="22"/>
        </w:rPr>
        <w:t>87, 2337-2357, 2002.</w:t>
      </w:r>
    </w:p>
    <w:p>
      <w:pPr>
        <w:ind w:left="450" w:hanging="450"/>
        <w:spacing w:line="276" w:lineRule="auto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Selective Processing of Vestibular Reafference During Self-generated Head Motion.  </w:t>
      </w:r>
      <w:r>
        <w:rPr>
          <w:rFonts w:ascii="Calibri" w:hAnsi="Calibri" w:cs="Calibri"/>
          <w:i/>
          <w:sz w:val="22"/>
          <w:szCs w:val="22"/>
        </w:rPr>
        <w:t xml:space="preserve">J. </w:t>
      </w:r>
      <w:r>
        <w:rPr>
          <w:rFonts w:ascii="Calibri" w:hAnsi="Calibri" w:cs="Calibri"/>
          <w:i/>
          <w:sz w:val="22"/>
          <w:szCs w:val="22"/>
        </w:rPr>
        <w:t>Neurosci</w:t>
      </w:r>
      <w:r>
        <w:rPr>
          <w:rFonts w:ascii="Calibri" w:hAnsi="Calibri" w:cs="Calibri"/>
          <w:i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21, 2131-2142, 2001.</w:t>
      </w:r>
      <w:r>
        <w:rPr>
          <w:rFonts w:ascii="Calibri" w:hAnsi="Calibri" w:cs="Calibri"/>
          <w:i/>
          <w:sz w:val="22"/>
          <w:szCs w:val="22"/>
        </w:rPr>
      </w:r>
    </w:p>
    <w:p>
      <w:pPr>
        <w:ind w:left="450" w:hanging="450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A Neural Correlate for Vestibulo-Ocular Reflex Suppression During Voluntary Eye-Head Gaze Shifts.  </w:t>
      </w:r>
      <w:r>
        <w:rPr>
          <w:rFonts w:ascii="Calibri" w:hAnsi="Calibri" w:cs="Calibri"/>
          <w:i/>
          <w:sz w:val="22"/>
          <w:szCs w:val="22"/>
        </w:rPr>
        <w:t>Nature Neurosci.</w:t>
      </w:r>
      <w:r>
        <w:rPr>
          <w:rFonts w:ascii="Calibri" w:hAnsi="Calibri" w:cs="Calibri"/>
          <w:sz w:val="22"/>
          <w:szCs w:val="22"/>
        </w:rPr>
        <w:t>1, 404-410, 1998.</w:t>
      </w: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</w:r>
    </w:p>
    <w:p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5840" w:w="12240"/>
      <w:pgMar w:left="720" w:top="720" w:right="720" w:bottom="720" w:header="288" w:footer="709"/>
      <w:paperSrc w:first="0" w:other="0" a="0" b="0"/>
      <w:pgNumType w:fmt="decimal"/>
      <w:titlePg/>
      <w:tmGutter w:val="3"/>
      <w:mirrorMargins w:val="0"/>
      <w:tmSection w:h="-2">
        <w:tmHeader w:id="0" w:h="0" edge="288" text="0">
          <w:shd w:val="none"/>
        </w:tmHeader>
        <w:tmFooter w:id="0" w:h="0" edge="720" text="0">
          <w:shd w:val="none"/>
        </w:tmFooter>
        <w:tmHeader w:id="2" w:h="0" edge="288" text="0">
          <w:shd w:val="none"/>
        </w:tmHeader>
        <w:tmFooter w:id="2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posOffset>9525</wp:posOffset>
              </wp:positionH>
              <wp:positionV relativeFrom="page">
                <wp:posOffset>9792970</wp:posOffset>
              </wp:positionV>
              <wp:extent cx="7757160" cy="0"/>
              <wp:effectExtent l="9525" t="9525" r="9525" b="9525"/>
              <wp:wrapNone/>
              <wp:docPr id="1025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  <a:codePr string="" type="312" text="1"/>
                      <a:extLst>
                        <a:ext uri="sm">
                          <sm:smNativeData xmlns:sm="sm" val="SMDATA_15_KSydZxMAAAAlAAAADgAAAA0AAAAAkAAAAEgAAACQAAAASAAAAAAAAAAAAAAAAAAAAAEAAABQAAAAAAAAAAAAAA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ww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AAAAA8AAAAAAAAAAAAAAD48AAC4LwAAAAAAAAAAAAAPAAAAPjwAACgAAAAIAAAAAQAAAAEAAAAwAAAAFAAAAAAAAAAAAP//AAABAAAA//8AAAEA"/>
                        </a:ext>
                      </a:extLst>
                    </wps:cNvCnPr>
                    <wps:spPr>
                      <a:xfrm>
                        <a:off x="0" y="0"/>
                        <a:ext cx="7757160" cy="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70C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8" o:spid="_x0000_s3073" type="#_x0000_t34" style="position:absolute;margin-left:0.75pt;margin-top:771.10pt;mso-position-horizontal-relative:page;mso-position-vertical-relative:page;width:610.80pt;height:0.00pt;z-index:251659265;mso-wrap-distance-left:9.00pt;mso-wrap-distance-top:0.00pt;mso-wrap-distance-right:9.00pt;mso-wrap-distance-bottom:0.00pt;mso-wrap-style:square" o:connectortype="elbow" adj="10800,16200,16200" strokeweight="0.75pt" strokecolor="#0070c0" v:ext="SMDATA_15_KSydZxMAAAAlAAAADgAAAA0AAAAAkAAAAEgAAACQAAAASAAAAAAAAAAAAAAAAAAAAAEAAABQAAAAAAAAAAAAAA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ww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AAAAA8AAAAAAAAAAAAAAD48AAC4LwAAAAAAAAAAAAAPAAAAPjwAACgAAAAIAAAAAQAAAAEAAAAwAAAAFAAAAAAAAAAAAP//AAABAAAA//8AAAEA">
              <w10:wrap type="none" anchorx="page" anchory="page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7200" w:firstLine="720"/>
      <w:rPr>
        <w:rFonts w:ascii="Calibri" w:hAnsi="Calibri" w:cs="Calibri"/>
        <w:b/>
        <w:sz w:val="28"/>
        <w:szCs w:val="28"/>
      </w:rPr>
    </w:pPr>
    <w:r>
      <w:rPr>
        <w:rFonts w:ascii="Calibri" w:hAnsi="Calibri" w:cs="Calibri"/>
        <w:sz w:val="22"/>
        <w:szCs w:val="22"/>
      </w:rPr>
      <w:t>jefferson.roy@gmail.com</w:t>
    </w:r>
    <w:r>
      <w:rPr>
        <w:rFonts w:ascii="Calibri" w:hAnsi="Calibri" w:cs="Calibri"/>
        <w:b/>
        <w:sz w:val="28"/>
        <w:szCs w:val="28"/>
      </w:rPr>
    </w:r>
  </w:p>
  <w:p>
    <w:pPr>
      <w:pStyle w:val="para3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  <w:sz w:val="22"/>
        <w:szCs w:val="22"/>
      </w:rPr>
    </w:lvl>
    <w:lvl w:ilvl="1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360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396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4320" w:hanging="0"/>
      </w:pPr>
      <w:rPr>
        <w:rFonts w:ascii="OpenSymbol" w:hAnsi="OpenSymbol" w:cs="Open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-14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576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29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01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736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45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17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4896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616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22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4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66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8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0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82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4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64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·"/>
      <w:lvlJc w:val="left"/>
      <w:pPr>
        <w:ind w:left="216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936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65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37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096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81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53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256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976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°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>
        <o:r id="V:Rule2" type="connector" idref="#AutoShape 28"/>
      </o:rules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43"/>
      <w:tmLastPosIdx w:val="80"/>
    </w:tmLastPosCaret>
    <w:tmLastPosAnchor>
      <w:tmLastPosPgfIdx w:val="43"/>
      <w:tmLastPosIdx w:val="76"/>
    </w:tmLastPosAnchor>
    <w:tmLastPosTblRect w:left="0" w:top="0" w:right="0" w:bottom="0"/>
  </w:tmLastPos>
  <w:tmAppRevision w:date="1738353705" w:val="1222" w:fileVer="342" w:fileVer64="64" w:fileVerOS="3"/>
  <w:guidesAndGrid showGuides="1" lockGuides="0" snapToGuides="1" snapToPageMargins="0" snapToOtherObjects="1" tolerance="8" gridDistanceHorizontal="283" gridDistanceVertical="283" showGrid="0" snapToGrid="0"/>
  <w:pdfExportOpt pagesRangeIndex="1" pagesSelectionIndex="0" qualityIndex="2" embedFonts="2" pdfaType="0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dpi="2" resample="1" name="/mnt/fastData/github/jeffersonroy.github.io/assets/resume.pdf" map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ddress 1"/>
    <w:qFormat/>
    <w:basedOn w:val="para0"/>
    <w:pPr>
      <w:spacing w:line="200" w:lineRule="atLeast"/>
    </w:pPr>
    <w:rPr>
      <w:sz w:val="16"/>
    </w:rPr>
  </w:style>
  <w:style w:type="paragraph" w:styleId="para3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ddress 1"/>
    <w:qFormat/>
    <w:basedOn w:val="para0"/>
    <w:pPr>
      <w:spacing w:line="200" w:lineRule="atLeast"/>
    </w:pPr>
    <w:rPr>
      <w:sz w:val="16"/>
    </w:rPr>
  </w:style>
  <w:style w:type="paragraph" w:styleId="para3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JRoy</dc:creator>
  <cp:keywords/>
  <dc:description/>
  <cp:lastModifiedBy/>
  <cp:revision>5</cp:revision>
  <cp:lastPrinted>2025-01-31T20:01:10Z</cp:lastPrinted>
  <dcterms:created xsi:type="dcterms:W3CDTF">2024-10-25T19:18:00Z</dcterms:created>
  <dcterms:modified xsi:type="dcterms:W3CDTF">2025-01-31T20:01:45Z</dcterms:modified>
</cp:coreProperties>
</file>