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Calibri" w:hAnsi="Calibri" w:cs="Calibri"/>
          <w:color w:val="1f4e79"/>
          <w:sz w:val="44"/>
          <w:szCs w:val="44"/>
        </w:rPr>
      </w:pPr>
      <w:r/>
      <w:bookmarkStart w:id="0" w:name="_Hlk90371382"/>
      <w:r/>
      <w:bookmarkEnd w:id="0"/>
      <w:r/>
      <w:r>
        <w:rPr>
          <w:rFonts w:ascii="Calibri" w:hAnsi="Calibri" w:cs="Calibri"/>
          <w:color w:val="1f4e79"/>
          <w:sz w:val="44"/>
          <w:szCs w:val="44"/>
        </w:rPr>
        <w:t>Jefferson E. Roy</w:t>
      </w:r>
      <w:r>
        <w:rPr>
          <w:rFonts w:ascii="Calibri" w:hAnsi="Calibri" w:cs="Calibri"/>
          <w:color w:val="1f4e79"/>
          <w:sz w:val="44"/>
          <w:szCs w:val="44"/>
        </w:rPr>
      </w:r>
    </w:p>
    <w:p>
      <w:pPr>
        <w:spacing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>
      <w:pPr>
        <w:spacing/>
        <w:jc w:val="center"/>
        <w:rPr>
          <w:rFonts w:ascii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1" locked="0" layoutInCell="0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6883400" cy="45085"/>
                <wp:effectExtent l="0" t="0" r="0" b="0"/>
                <wp:wrapNone/>
                <wp:docPr id="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HdLmZxMAAAAlAAAAZAAAAE0AAAAAkAAAAEgAAACQAAAASAAAAAAAAAAAAAAAAAAAAAEAAABQAAAAAAAAAAAA4D8AAAAAAADgPwAAAAAAAOA/AAAAAAAA4D8AAAAAAADgPwAAAAAAAOA/AAAAAAAA4D8AAAAAAADgPwAAAAAAAOA/AAAAAAAA4D8CAAAAjAAAAAEAAAAAAAAAnZ2h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IAAAAAIAAAAAAAAAAAAAABAAAAAQAAAAAAAAAAAAAAAgAAAFwAAABYKgAARwAAAAAAAADQAgAAUgYAACgAAAAIAAAAAQAAAAEAAAAwAAAAFAAAAAAAAAAAAP//AAABAAAA//8AAAEA"/>
                          </a:ext>
                        </a:extLst>
                      </wps:cNvSpPr>
                      <wps:spPr>
                        <a:xfrm flipV="1">
                          <a:off x="0" y="0"/>
                          <a:ext cx="6883400" cy="45085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so-position-horizontal:left;margin-top:4.60pt;mso-position-horizontal-relative:margin;width:542.00pt;height:3.55pt;rotation:360.0;z-index:251658253;mso-wrap-distance-left:9.00pt;mso-wrap-distance-top:0.00pt;mso-wrap-distance-right:9.00pt;mso-wrap-distance-bottom:0.00pt;flip:y;mso-wrap-style:square" stroked="f" fillcolor="#9d9da1" v:ext="SMDATA_15_HdLmZxMAAAAlAAAAZAAAAE0AAAAAkAAAAEgAAACQAAAASAAAAAAAAAAAAAAAAAAAAAEAAABQAAAAAAAAAAAA4D8AAAAAAADgPwAAAAAAAOA/AAAAAAAA4D8AAAAAAADgPwAAAAAAAOA/AAAAAAAA4D8AAAAAAADgPwAAAAAAAOA/AAAAAAAA4D8CAAAAjAAAAAEAAAAAAAAAnZ2h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IAAAAAIAAAAAAAAAAAAAABAAAAAQAAAAAAAAAAAAAAAgAAAFwAAABYKgAARwAAAAAAAADQAgAAUgYAACgAAAAIAAAAAQAAAAEAAAAwAAAAFAAAAAAAAAAAAP//AAABAAAA//8AAAEA">
                <v:fill color2="#000000" type="solid" angle="90"/>
                <w10:wrap type="none" anchorx="margin" anchory="text"/>
              </v:rect>
            </w:pict>
          </mc:Fallback>
        </mc:AlternateContent>
      </w:r>
      <w:r>
        <w:rPr>
          <w:rFonts w:ascii="Calibri" w:hAnsi="Calibri" w:cs="Calibri"/>
          <w:sz w:val="22"/>
          <w:szCs w:val="22"/>
        </w:rPr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color w:val="1f4e79"/>
          <w:szCs w:val="24"/>
        </w:rPr>
        <w:t>Neuroscientist</w:t>
      </w:r>
      <w:r>
        <w:rPr>
          <w:rFonts w:ascii="Calibri" w:hAnsi="Calibri" w:cs="Calibri"/>
          <w:sz w:val="22"/>
          <w:szCs w:val="22"/>
        </w:rPr>
        <w:t xml:space="preserve"> with extensive experience in the investigation of goal-directed behavior using electrophysiological recording techniques.  Knowledgeable about grant management and budgeting.  Engaged technical consultant.</w:t>
      </w:r>
      <w:r>
        <w:rPr>
          <w:rFonts w:ascii="Calibri" w:hAnsi="Calibri" w:cs="Calibri"/>
          <w:sz w:val="22"/>
          <w:szCs w:val="22"/>
        </w:rPr>
      </w:r>
    </w:p>
    <w:p>
      <w:pPr>
        <w:rPr>
          <w:rFonts w:ascii="Calibri" w:hAnsi="Calibri" w:cs="Calibri"/>
          <w:color w:val="a5a5a5"/>
          <w:sz w:val="22"/>
          <w:szCs w:val="22"/>
        </w:rPr>
      </w:pPr>
      <w:r>
        <w:rPr>
          <w:rFonts w:ascii="Calibri" w:hAnsi="Calibri" w:cs="Calibri"/>
          <w:color w:val="a5a5a5"/>
          <w:sz w:val="22"/>
          <w:szCs w:val="22"/>
        </w:rPr>
      </w:r>
    </w:p>
    <w:p>
      <w:pPr>
        <w:rPr>
          <w:rFonts w:ascii="Calibri" w:hAnsi="Calibri" w:cs="Calibri"/>
          <w:color w:val="1f4e79"/>
          <w:szCs w:val="24"/>
        </w:rPr>
      </w:pPr>
      <w:r>
        <w:rPr>
          <w:rFonts w:ascii="Calibri" w:hAnsi="Calibri" w:cs="Calibri"/>
          <w:color w:val="1f4e79"/>
          <w:szCs w:val="24"/>
        </w:rPr>
        <w:t>KEY STRENGTHS</w:t>
      </w:r>
    </w:p>
    <w:tbl>
      <w:tblPr>
        <w:tblStyle w:val="TableGrid"/>
        <w:name w:val="Table1"/>
        <w:tabOrder w:val="0"/>
        <w:jc w:val="left"/>
        <w:tblInd w:w="0" w:type="dxa"/>
        <w:tblW w:w="10790" w:type="dxa"/>
        <w:tblLook w:val="04A0" w:firstRow="1" w:lastRow="0" w:firstColumn="1" w:lastColumn="0" w:noHBand="0" w:noVBand="1"/>
      </w:tblPr>
      <w:tblGrid>
        <w:gridCol w:w="2970"/>
        <w:gridCol w:w="3060"/>
        <w:gridCol w:w="2880"/>
        <w:gridCol w:w="1880"/>
      </w:tblGrid>
      <w:tr>
        <w:trPr>
          <w:tblHeader w:val="0"/>
          <w:cantSplit w:val="0"/>
          <w:trHeight w:val="270" w:hRule="atLeast"/>
        </w:trPr>
        <w:tc>
          <w:tcPr>
            <w:tcW w:w="297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3180317" protected="0"/>
          </w:tcPr>
          <w:p>
            <w:pPr>
              <w:pStyle w:val="para1"/>
              <w:numPr>
                <w:ilvl w:val="0"/>
                <w:numId w:val="14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Cognitive study design</w:t>
            </w:r>
          </w:p>
        </w:tc>
        <w:tc>
          <w:tcPr>
            <w:tcW w:w="306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3180317" protected="0"/>
          </w:tcPr>
          <w:p>
            <w:pPr>
              <w:pStyle w:val="para1"/>
              <w:numPr>
                <w:ilvl w:val="0"/>
                <w:numId w:val="14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Mentoring and supervision</w:t>
            </w:r>
          </w:p>
        </w:tc>
        <w:tc>
          <w:tcPr>
            <w:tcW w:w="28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3180317" protected="0"/>
          </w:tcPr>
          <w:p>
            <w:pPr>
              <w:pStyle w:val="para1"/>
              <w:numPr>
                <w:ilvl w:val="0"/>
                <w:numId w:val="5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Technical consulting</w:t>
            </w:r>
          </w:p>
        </w:tc>
        <w:tc>
          <w:tcPr>
            <w:tcW w:w="18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3180317" protected="0"/>
          </w:tcPr>
          <w:p>
            <w:pPr>
              <w:pStyle w:val="para1"/>
              <w:numPr>
                <w:ilvl w:val="0"/>
                <w:numId w:val="4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Compliance</w:t>
            </w:r>
          </w:p>
        </w:tc>
      </w:tr>
      <w:tr>
        <w:trPr>
          <w:tblHeader w:val="0"/>
          <w:cantSplit w:val="0"/>
          <w:trHeight w:val="279" w:hRule="atLeast"/>
        </w:trPr>
        <w:tc>
          <w:tcPr>
            <w:tcW w:w="297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3180317" protected="0"/>
          </w:tcPr>
          <w:p>
            <w:pPr>
              <w:pStyle w:val="para1"/>
              <w:numPr>
                <w:ilvl w:val="0"/>
                <w:numId w:val="14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 vivo recording </w:t>
            </w:r>
          </w:p>
        </w:tc>
        <w:tc>
          <w:tcPr>
            <w:tcW w:w="306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3180317" protected="0"/>
          </w:tcPr>
          <w:p>
            <w:pPr>
              <w:pStyle w:val="para1"/>
              <w:numPr>
                <w:ilvl w:val="0"/>
                <w:numId w:val="14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Scientific writing</w:t>
            </w:r>
          </w:p>
        </w:tc>
        <w:tc>
          <w:tcPr>
            <w:tcW w:w="28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3180317" protected="0"/>
          </w:tcPr>
          <w:p>
            <w:pPr>
              <w:pStyle w:val="para1"/>
              <w:numPr>
                <w:ilvl w:val="0"/>
                <w:numId w:val="5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Science outreach</w:t>
            </w:r>
          </w:p>
        </w:tc>
        <w:tc>
          <w:tcPr>
            <w:tcW w:w="18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3180317" protected="0"/>
          </w:tcPr>
          <w:p>
            <w:pPr>
              <w:pStyle w:val="para1"/>
              <w:numPr>
                <w:ilvl w:val="0"/>
                <w:numId w:val="4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Budgeting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7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3180317" protected="0"/>
          </w:tcPr>
          <w:p>
            <w:pPr>
              <w:pStyle w:val="para1"/>
              <w:numPr>
                <w:ilvl w:val="0"/>
                <w:numId w:val="14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Matlab and Julia</w:t>
            </w:r>
          </w:p>
        </w:tc>
        <w:tc>
          <w:tcPr>
            <w:tcW w:w="306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3180317" protected="0"/>
          </w:tcPr>
          <w:p>
            <w:pPr>
              <w:pStyle w:val="para1"/>
              <w:numPr>
                <w:ilvl w:val="0"/>
                <w:numId w:val="14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Presentations</w:t>
            </w:r>
          </w:p>
        </w:tc>
        <w:tc>
          <w:tcPr>
            <w:tcW w:w="28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3180317" protected="0"/>
          </w:tcPr>
          <w:p>
            <w:pPr>
              <w:pStyle w:val="para1"/>
              <w:numPr>
                <w:ilvl w:val="0"/>
                <w:numId w:val="5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Content creation</w:t>
            </w:r>
          </w:p>
        </w:tc>
        <w:tc>
          <w:tcPr>
            <w:tcW w:w="18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3180317" protected="0"/>
          </w:tcPr>
          <w:p>
            <w:pPr>
              <w:pStyle w:val="para1"/>
              <w:numPr>
                <w:ilvl w:val="0"/>
                <w:numId w:val="4"/>
              </w:numPr>
              <w:ind w:left="144" w:hanging="1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Grant writing</w:t>
            </w:r>
          </w:p>
        </w:tc>
      </w:tr>
    </w:tbl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>
      <w:pPr>
        <w:rPr>
          <w:rFonts w:ascii="Calibri" w:hAnsi="Calibri" w:cs="Calibri"/>
          <w:color w:val="1f4e79"/>
          <w:szCs w:val="24"/>
        </w:rPr>
      </w:pPr>
      <w:r>
        <w:rPr>
          <w:rFonts w:ascii="Calibri" w:hAnsi="Calibri" w:cs="Calibri"/>
          <w:color w:val="1f4e79"/>
          <w:szCs w:val="24"/>
        </w:rPr>
        <w:t>NEUROSCIENCE EXPERIENCE</w:t>
      </w:r>
    </w:p>
    <w:p>
      <w:pPr>
        <w:spacing/>
        <w:jc w:val="both"/>
        <w:rPr>
          <w:rFonts w:ascii="Calibri" w:hAnsi="Calibri" w:cs="Calibri"/>
          <w:i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hidden="0" allowOverlap="1">
                <wp:simplePos x="0" y="0"/>
                <wp:positionH relativeFrom="page">
                  <wp:posOffset>-29845</wp:posOffset>
                </wp:positionH>
                <wp:positionV relativeFrom="paragraph">
                  <wp:posOffset>97790</wp:posOffset>
                </wp:positionV>
                <wp:extent cx="255905" cy="0"/>
                <wp:effectExtent l="12700" t="12700" r="12700" b="12700"/>
                <wp:wrapNone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kAAAAAoAAAAAAAAAAAAAAAAAAAAAAAANH///8AAAAAAgAAAJoAAACTAQAAAAAAAAAAAADR////ZRE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7" style="position:absolute;mso-position-horizontal-relative:page;width:20.15pt;height:0.00pt;z-index:251658241;mso-wrap-distance-left:9.00pt;mso-wrap-distance-top:0.00pt;mso-wrap-distance-right:9.00pt;mso-wrap-distance-bottom:0.00pt;mso-wrap-style:square" from="-2.35pt,7.70pt" to="17.80pt,7.70pt" strokeweight="1.00pt" strokecolor="#5b9bd5" filled="f" v:ext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kAAAAAoAAAAAAAAAAAAAAAAAAAAAAAANH///8AAAAAAgAAAJoAAACTAQAAAAAAAAAAAADR////ZRE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color w:val="000000"/>
          <w:sz w:val="22"/>
          <w:szCs w:val="22"/>
        </w:rPr>
        <w:t>Research Scientist III</w:t>
        <w:tab/>
        <w:tab/>
        <w:tab/>
        <w:tab/>
        <w:tab/>
        <w:tab/>
        <w:tab/>
      </w:r>
      <w:r>
        <w:rPr>
          <w:rFonts w:ascii="Calibri" w:hAnsi="Calibri" w:cs="Calibri"/>
          <w:i/>
          <w:sz w:val="22"/>
          <w:szCs w:val="22"/>
        </w:rPr>
        <w:t xml:space="preserve">2007-present </w:t>
      </w:r>
      <w:r>
        <w:rPr>
          <w:rFonts w:ascii="Calibri" w:hAnsi="Calibri" w:cs="Calibri"/>
          <w:i/>
          <w:sz w:val="22"/>
          <w:szCs w:val="22"/>
        </w:rPr>
        <w:tab/>
      </w:r>
      <w:r>
        <w:rPr>
          <w:rFonts w:ascii="Calibri" w:hAnsi="Calibri" w:cs="Calibri"/>
          <w:i/>
          <w:sz w:val="22"/>
          <w:szCs w:val="22"/>
        </w:rPr>
        <w:tab/>
        <w:t>Cambridge, MA, USA</w:t>
      </w:r>
      <w:r>
        <w:rPr>
          <w:rFonts w:ascii="Calibri" w:hAnsi="Calibri" w:cs="Calibri"/>
          <w:i/>
          <w:sz w:val="18"/>
          <w:szCs w:val="18"/>
        </w:rPr>
        <w:tab/>
        <w:t xml:space="preserve">     </w:t>
      </w:r>
      <w:r>
        <w:rPr>
          <w:rFonts w:ascii="Calibri" w:hAnsi="Calibri" w:cs="Calibri"/>
          <w:i/>
          <w:color w:val="000000"/>
          <w:sz w:val="18"/>
          <w:szCs w:val="18"/>
        </w:rPr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Picower Institute for Learning and Memory at MIT under mentorship of Dr. Earl K. Miller</w:t>
      </w:r>
    </w:p>
    <w:p>
      <w:pPr>
        <w:pStyle w:val="para1"/>
        <w:numPr>
          <w:ilvl w:val="0"/>
          <w:numId w:val="10"/>
        </w:numPr>
        <w:ind w:left="180"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Investigating neuronal mechanisms of cognitive flexibility during goal-directed behavior</w:t>
      </w:r>
    </w:p>
    <w:p>
      <w:pPr>
        <w:pStyle w:val="para1"/>
        <w:numPr>
          <w:ilvl w:val="0"/>
          <w:numId w:val="10"/>
        </w:numPr>
        <w:ind w:left="180" w:hanging="18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 and implement multiple electrophysiological non-human primate studies of cognitive behavior</w:t>
      </w:r>
      <w:r>
        <w:rPr>
          <w:rFonts w:ascii="Calibri" w:hAnsi="Calibri" w:cs="Calibri"/>
          <w:b/>
          <w:sz w:val="22"/>
          <w:szCs w:val="22"/>
        </w:rPr>
      </w:r>
    </w:p>
    <w:p>
      <w:pPr>
        <w:pStyle w:val="para1"/>
        <w:numPr>
          <w:ilvl w:val="0"/>
          <w:numId w:val="10"/>
        </w:numPr>
        <w:ind w:left="180" w:hanging="18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Analyze complex neuronal signals and behavior with custom Matlab and Julia scripts</w:t>
      </w:r>
      <w:r>
        <w:rPr>
          <w:rFonts w:ascii="Calibri" w:hAnsi="Calibri" w:cs="Calibri"/>
          <w:b/>
          <w:sz w:val="22"/>
          <w:szCs w:val="22"/>
        </w:rPr>
      </w:r>
    </w:p>
    <w:p>
      <w:pPr>
        <w:pStyle w:val="para1"/>
        <w:numPr>
          <w:ilvl w:val="0"/>
          <w:numId w:val="10"/>
        </w:numPr>
        <w:ind w:left="180" w:hanging="180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sz w:val="22"/>
          <w:szCs w:val="22"/>
        </w:rPr>
        <w:t>Proficient with chronic array implantation and recordings, acute recordings, EEG recordings, and electrical stimulation</w:t>
      </w:r>
      <w:r>
        <w:rPr>
          <w:rFonts w:ascii="Calibri" w:hAnsi="Calibri" w:cs="Calibri"/>
          <w:b/>
          <w:sz w:val="20"/>
        </w:rPr>
      </w:r>
    </w:p>
    <w:p>
      <w:pPr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</w:r>
    </w:p>
    <w:p>
      <w:pPr>
        <w:spacing/>
        <w:jc w:val="both"/>
        <w:rPr>
          <w:rFonts w:ascii="Calibri" w:hAnsi="Calibri" w:cs="Calibri"/>
          <w:i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page">
                  <wp:posOffset>-26035</wp:posOffset>
                </wp:positionH>
                <wp:positionV relativeFrom="paragraph">
                  <wp:posOffset>111125</wp:posOffset>
                </wp:positionV>
                <wp:extent cx="255905" cy="0"/>
                <wp:effectExtent l="12700" t="12700" r="12700" b="12700"/>
                <wp:wrapNone/>
                <wp:docPr id="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AAAAAAoAAAAAAAAAAAAAAAAAAAAAAAANf///8AAAAAAgAAAK8AAACTAQAAAAAAAAAAAADX////vBg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8" style="position:absolute;mso-position-horizontal-relative:page;width:20.15pt;height:0.00pt;z-index:251658242;mso-wrap-distance-left:9.00pt;mso-wrap-distance-top:0.00pt;mso-wrap-distance-right:9.00pt;mso-wrap-distance-bottom:0.00pt;mso-wrap-style:square" from="-2.05pt,8.75pt" to="18.10pt,8.75pt" strokeweight="1.00pt" strokecolor="#5b9bd5" filled="f" v:ext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AAAAAAoAAAAAAAAAAAAAAAAAAAAAAAANf///8AAAAAAgAAAK8AAACTAQAAAAAAAAAAAADX////vBg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sz w:val="22"/>
          <w:szCs w:val="22"/>
        </w:rPr>
        <w:t xml:space="preserve">Associate Lab Director of Miller Lab  </w:t>
        <w:tab/>
        <w:tab/>
        <w:tab/>
        <w:tab/>
        <w:tab/>
      </w:r>
      <w:r>
        <w:rPr>
          <w:rFonts w:ascii="Calibri" w:hAnsi="Calibri" w:cs="Calibri"/>
          <w:i/>
          <w:sz w:val="22"/>
          <w:szCs w:val="22"/>
        </w:rPr>
        <w:t xml:space="preserve">2013-present </w:t>
      </w:r>
      <w:r>
        <w:rPr>
          <w:rFonts w:ascii="Calibri" w:hAnsi="Calibri" w:cs="Calibri"/>
          <w:i/>
          <w:sz w:val="22"/>
          <w:szCs w:val="22"/>
        </w:rPr>
        <w:tab/>
        <w:t xml:space="preserve">               Cambridge, MA, USA</w:t>
      </w:r>
      <w:r>
        <w:rPr>
          <w:rFonts w:ascii="Calibri" w:hAnsi="Calibri" w:cs="Calibri"/>
          <w:i/>
          <w:color w:val="000000"/>
          <w:sz w:val="22"/>
          <w:szCs w:val="22"/>
        </w:rPr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Picower Institute for Learning and Memory at MIT </w:t>
      </w:r>
    </w:p>
    <w:p>
      <w:pPr>
        <w:pStyle w:val="para1"/>
        <w:numPr>
          <w:ilvl w:val="0"/>
          <w:numId w:val="15"/>
        </w:numPr>
        <w:ind w:left="180" w:hanging="18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 and teach surgical procedures (e.g. headposts, acute recording chambers, chronic arrays)</w:t>
      </w:r>
      <w:r>
        <w:rPr>
          <w:rFonts w:ascii="Calibri" w:hAnsi="Calibri" w:cs="Calibri"/>
          <w:b/>
          <w:sz w:val="22"/>
          <w:szCs w:val="22"/>
        </w:rPr>
      </w:r>
    </w:p>
    <w:p>
      <w:pPr>
        <w:pStyle w:val="para1"/>
        <w:numPr>
          <w:ilvl w:val="0"/>
          <w:numId w:val="15"/>
        </w:numPr>
        <w:ind w:left="180" w:hanging="18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Collaborative mentor to new postdoctoral researchers and graduate students</w:t>
      </w:r>
      <w:r>
        <w:rPr>
          <w:rFonts w:ascii="Calibri" w:hAnsi="Calibri" w:cs="Calibri"/>
          <w:b/>
          <w:sz w:val="22"/>
          <w:szCs w:val="22"/>
        </w:rPr>
      </w:r>
    </w:p>
    <w:p>
      <w:pPr>
        <w:pStyle w:val="para1"/>
        <w:numPr>
          <w:ilvl w:val="0"/>
          <w:numId w:val="15"/>
        </w:numPr>
        <w:ind w:left="180"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Ensure budgetary compliance per MIT, NIH, NSF, and industry guidelines</w:t>
      </w:r>
    </w:p>
    <w:p>
      <w:pPr>
        <w:pStyle w:val="para1"/>
        <w:numPr>
          <w:ilvl w:val="0"/>
          <w:numId w:val="15"/>
        </w:numPr>
        <w:ind w:left="144" w:hanging="14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Ensure biosafety and animal use compliance per MIT, USDA, and AAALAC guidelines</w:t>
      </w:r>
    </w:p>
    <w:p>
      <w:pPr>
        <w:pStyle w:val="para1"/>
        <w:numPr>
          <w:ilvl w:val="0"/>
          <w:numId w:val="15"/>
        </w:numPr>
        <w:ind w:left="180"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Manage grant applications and progress reports </w:t>
      </w:r>
    </w:p>
    <w:p>
      <w:pPr>
        <w:pStyle w:val="para1"/>
        <w:numPr>
          <w:ilvl w:val="0"/>
          <w:numId w:val="15"/>
        </w:numPr>
        <w:ind w:left="180"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Member of MIT Compassion Fatigue Committee (2024-present)</w:t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>
      <w:pPr>
        <w:spacing/>
        <w:jc w:val="both"/>
        <w:rPr>
          <w:rFonts w:ascii="Calibri" w:hAnsi="Calibri" w:cs="Calibri"/>
          <w:i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page">
                  <wp:posOffset>-26035</wp:posOffset>
                </wp:positionH>
                <wp:positionV relativeFrom="paragraph">
                  <wp:posOffset>111125</wp:posOffset>
                </wp:positionV>
                <wp:extent cx="255905" cy="0"/>
                <wp:effectExtent l="12700" t="12700" r="12700" b="12700"/>
                <wp:wrapNone/>
                <wp:docPr id="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kAAAAAoAAAAAAAAAAAAAAAAAAAAAAAANf///8AAAAAAgAAAK8AAACTAQAAAAAAAAAAAADX////MSI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9" style="position:absolute;mso-position-horizontal-relative:page;width:20.15pt;height:0.00pt;z-index:251658243;mso-wrap-distance-left:9.00pt;mso-wrap-distance-top:0.00pt;mso-wrap-distance-right:9.00pt;mso-wrap-distance-bottom:0.00pt;mso-wrap-style:square" from="-2.05pt,8.75pt" to="18.10pt,8.75pt" strokeweight="1.00pt" strokecolor="#5b9bd5" filled="f" v:ext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kAAAAAoAAAAAAAAAAAAAAAAAAAAAAAANf///8AAAAAAgAAAK8AAACTAQAAAAAAAAAAAADX////MSI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sz w:val="22"/>
          <w:szCs w:val="22"/>
        </w:rPr>
        <w:t xml:space="preserve">Postdoctoral Associate  </w:t>
        <w:tab/>
        <w:tab/>
        <w:tab/>
        <w:tab/>
        <w:tab/>
        <w:tab/>
      </w:r>
      <w:r>
        <w:rPr>
          <w:rFonts w:ascii="Calibri" w:hAnsi="Calibri" w:cs="Calibri"/>
          <w:i/>
          <w:sz w:val="22"/>
          <w:szCs w:val="22"/>
        </w:rPr>
        <w:t xml:space="preserve">2002-2007 </w:t>
      </w:r>
      <w:r>
        <w:rPr>
          <w:rFonts w:ascii="Calibri" w:hAnsi="Calibri" w:cs="Calibri"/>
          <w:i/>
          <w:sz w:val="22"/>
          <w:szCs w:val="22"/>
        </w:rPr>
        <w:tab/>
        <w:t xml:space="preserve">                Cambridge, MA, USA</w:t>
      </w:r>
      <w:r>
        <w:rPr>
          <w:rFonts w:ascii="Calibri" w:hAnsi="Calibri" w:cs="Calibri"/>
          <w:i/>
          <w:color w:val="000000"/>
          <w:sz w:val="18"/>
          <w:szCs w:val="18"/>
        </w:rPr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Picower Institute for Learning and Memory at MIT under mentorship of Dr. Earl K. Miller</w:t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>
      <w:pPr>
        <w:rPr>
          <w:rFonts w:ascii="Calibri" w:hAnsi="Calibri" w:cs="Calibri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page">
                  <wp:posOffset>-26035</wp:posOffset>
                </wp:positionH>
                <wp:positionV relativeFrom="paragraph">
                  <wp:posOffset>111125</wp:posOffset>
                </wp:positionV>
                <wp:extent cx="255905" cy="0"/>
                <wp:effectExtent l="12700" t="12700" r="12700" b="12700"/>
                <wp:wrapNone/>
                <wp:docPr id="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wAAAAAoAAAAAAAAAAAAAAAAAAAAAAAANf///8AAAAAAgAAAK8AAACTAQAAAAAAAAAAAADX////WCU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30" style="position:absolute;mso-position-horizontal-relative:page;width:20.15pt;height:0.00pt;z-index:251658244;mso-wrap-distance-left:9.00pt;mso-wrap-distance-top:0.00pt;mso-wrap-distance-right:9.00pt;mso-wrap-distance-bottom:0.00pt;mso-wrap-style:square" from="-2.05pt,8.75pt" to="18.10pt,8.75pt" strokeweight="1.00pt" strokecolor="#5b9bd5" filled="f" v:ext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wAAAAAoAAAAAAAAAAAAAAAAAAAAAAAANf///8AAAAAAgAAAK8AAACTAQAAAAAAAAAAAADX////WCU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sz w:val="22"/>
          <w:szCs w:val="22"/>
        </w:rPr>
        <w:t>Graduate Student</w:t>
        <w:tab/>
        <w:tab/>
        <w:tab/>
        <w:tab/>
        <w:tab/>
        <w:tab/>
        <w:tab/>
      </w:r>
      <w:r>
        <w:rPr>
          <w:rFonts w:ascii="Calibri" w:hAnsi="Calibri" w:cs="Calibri"/>
          <w:i/>
          <w:sz w:val="22"/>
          <w:szCs w:val="22"/>
        </w:rPr>
        <w:t>1995-2002</w:t>
        <w:tab/>
        <w:t xml:space="preserve">           </w:t>
        <w:tab/>
        <w:t xml:space="preserve"> Montréal, QC, Canada</w:t>
      </w:r>
      <w:r>
        <w:rPr>
          <w:rFonts w:ascii="Calibri" w:hAnsi="Calibri" w:cs="Calibri"/>
          <w:b/>
          <w:sz w:val="22"/>
          <w:szCs w:val="22"/>
        </w:rPr>
      </w:r>
    </w:p>
    <w:p>
      <w:pPr>
        <w:spacing/>
        <w:jc w:val="both"/>
        <w:rPr>
          <w:rFonts w:ascii="Calibri" w:hAnsi="Calibri" w:cs="Calibri"/>
          <w:i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McGill University Department of Physiology with Dr. Kathleen E. Cullen     </w:t>
      </w:r>
      <w:r>
        <w:rPr>
          <w:rFonts w:ascii="Calibri" w:hAnsi="Calibri" w:cs="Calibri"/>
          <w:i/>
          <w:color w:val="000000"/>
          <w:sz w:val="22"/>
          <w:szCs w:val="22"/>
        </w:rPr>
      </w:r>
    </w:p>
    <w:p>
      <w:pPr>
        <w:pStyle w:val="para1"/>
        <w:numPr>
          <w:ilvl w:val="0"/>
          <w:numId w:val="13"/>
        </w:numPr>
        <w:ind w:left="180"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Investigated neuronal control of the VOR, VCR, and eye movements in alert behaving non-human primates</w:t>
      </w:r>
    </w:p>
    <w:p>
      <w:pPr>
        <w:pStyle w:val="para1"/>
        <w:numPr>
          <w:ilvl w:val="0"/>
          <w:numId w:val="13"/>
        </w:numPr>
        <w:ind w:left="180"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Analyzed complex neuronal signals and behavior with custom Matlab scripts</w:t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>
      <w:pPr>
        <w:rPr>
          <w:rFonts w:ascii="Calibri" w:hAnsi="Calibri" w:cs="Calibri"/>
          <w:color w:val="1f4e79"/>
          <w:szCs w:val="24"/>
        </w:rPr>
      </w:pPr>
      <w:r>
        <w:rPr>
          <w:rFonts w:ascii="Calibri" w:hAnsi="Calibri" w:cs="Calibri"/>
          <w:color w:val="1f4e79"/>
          <w:szCs w:val="24"/>
        </w:rPr>
        <w:t>CONSULTING</w:t>
      </w:r>
    </w:p>
    <w:p>
      <w:pPr>
        <w:spacing/>
        <w:jc w:val="both"/>
        <w:rPr>
          <w:rFonts w:ascii="Calibri" w:hAnsi="Calibri" w:cs="Calibri"/>
          <w:i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page">
                  <wp:posOffset>-26035</wp:posOffset>
                </wp:positionH>
                <wp:positionV relativeFrom="paragraph">
                  <wp:posOffset>111125</wp:posOffset>
                </wp:positionV>
                <wp:extent cx="255905" cy="0"/>
                <wp:effectExtent l="12700" t="12700" r="12700" b="12700"/>
                <wp:wrapNone/>
                <wp:docPr id="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IAAAAAoAAAAAAAAAAAAAAAAAAAAAAAANf///8AAAAAAgAAAK8AAACTAQAAAAAAAAAAAADX////vis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31" style="position:absolute;mso-position-horizontal-relative:page;width:20.15pt;height:0.00pt;z-index:251658245;mso-wrap-distance-left:9.00pt;mso-wrap-distance-top:0.00pt;mso-wrap-distance-right:9.00pt;mso-wrap-distance-bottom:0.00pt;mso-wrap-style:square" from="-2.05pt,8.75pt" to="18.10pt,8.75pt" strokeweight="1.00pt" strokecolor="#5b9bd5" filled="f" v:ext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IAAAAAoAAAAAAAAAAAAAAAAAAAAAAAANf///8AAAAAAgAAAK8AAACTAQAAAAAAAAAAAADX////vis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sz w:val="22"/>
          <w:szCs w:val="22"/>
        </w:rPr>
        <w:t>Muddled Mind Consulting LLC.</w:t>
        <w:tab/>
      </w:r>
      <w:r>
        <w:rPr>
          <w:rFonts w:ascii="Calibri" w:hAnsi="Calibri" w:cs="Calibri"/>
          <w:sz w:val="22"/>
          <w:szCs w:val="22"/>
        </w:rPr>
        <w:t>(Founder)</w:t>
      </w:r>
      <w:r>
        <w:rPr>
          <w:rFonts w:ascii="Calibri" w:hAnsi="Calibri" w:cs="Calibri"/>
          <w:b/>
          <w:sz w:val="22"/>
          <w:szCs w:val="22"/>
        </w:rPr>
        <w:tab/>
        <w:tab/>
        <w:tab/>
        <w:tab/>
      </w:r>
      <w:r>
        <w:rPr>
          <w:rFonts w:ascii="Calibri" w:hAnsi="Calibri" w:cs="Calibri"/>
          <w:i/>
          <w:sz w:val="22"/>
          <w:szCs w:val="22"/>
        </w:rPr>
        <w:t xml:space="preserve">2013-present             </w:t>
      </w:r>
      <w:r>
        <w:rPr>
          <w:rFonts w:ascii="Calibri" w:hAnsi="Calibri" w:cs="Calibri"/>
          <w:i/>
          <w:sz w:val="22"/>
          <w:szCs w:val="22"/>
        </w:rPr>
        <w:tab/>
      </w:r>
      <w:r>
        <w:rPr>
          <w:rFonts w:ascii="Calibri" w:hAnsi="Calibri" w:cs="Calibri"/>
          <w:i/>
          <w:sz w:val="22"/>
          <w:szCs w:val="22"/>
        </w:rPr>
        <w:t>Cambridge, MA, USA</w:t>
      </w:r>
      <w:r>
        <w:rPr>
          <w:rFonts w:ascii="Calibri" w:hAnsi="Calibri" w:cs="Calibri"/>
          <w:i/>
          <w:color w:val="000000"/>
          <w:sz w:val="22"/>
          <w:szCs w:val="22"/>
        </w:rPr>
      </w:r>
    </w:p>
    <w:p>
      <w:pPr>
        <w:pStyle w:val="para1"/>
        <w:numPr>
          <w:ilvl w:val="0"/>
          <w:numId w:val="8"/>
        </w:numPr>
        <w:ind w:left="144" w:hanging="144"/>
        <w:spacing/>
        <w:jc w:val="both"/>
        <w:rPr>
          <w:rFonts w:ascii="Calibri" w:hAnsi="Calibri" w:cs="Calibri"/>
          <w:i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Provide neuroscience technical consulting services to companies that includes writing whitepapers, data analysis, grant writing and editing, scripts/storyboards, educational content creation, and instruction</w:t>
      </w:r>
      <w:r>
        <w:rPr>
          <w:rFonts w:ascii="Calibri" w:hAnsi="Calibri" w:cs="Calibri"/>
          <w:i/>
          <w:color w:val="000000"/>
          <w:sz w:val="22"/>
          <w:szCs w:val="22"/>
        </w:rPr>
      </w:r>
    </w:p>
    <w:p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</w:r>
    </w:p>
    <w:p>
      <w:pPr>
        <w:rPr>
          <w:rFonts w:ascii="Calibri" w:hAnsi="Calibri" w:cs="Calibri"/>
          <w:color w:val="1f4e79"/>
          <w:szCs w:val="24"/>
        </w:rPr>
      </w:pPr>
      <w:r>
        <w:rPr>
          <w:rFonts w:ascii="Calibri" w:hAnsi="Calibri" w:cs="Calibri"/>
          <w:color w:val="1f4e79"/>
          <w:szCs w:val="24"/>
        </w:rPr>
        <w:t>EDUCATION</w:t>
      </w:r>
    </w:p>
    <w:p>
      <w:pPr>
        <w:rPr>
          <w:rFonts w:ascii="Calibri" w:hAnsi="Calibri" w:cs="Calibri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0" hidden="0" allowOverlap="1">
                <wp:simplePos x="0" y="0"/>
                <wp:positionH relativeFrom="page">
                  <wp:posOffset>-26035</wp:posOffset>
                </wp:positionH>
                <wp:positionV relativeFrom="paragraph">
                  <wp:posOffset>111125</wp:posOffset>
                </wp:positionV>
                <wp:extent cx="255905" cy="0"/>
                <wp:effectExtent l="12700" t="12700" r="12700" b="12700"/>
                <wp:wrapNone/>
                <wp:docPr id="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YAAAAAoAAAAAAAAAAAAAAAAAAAAAAAANf///8AAAAAAgAAAK8AAACTAQAAAAAAAAAAAADX/////jA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32" style="position:absolute;mso-position-horizontal-relative:page;width:20.15pt;height:0.00pt;z-index:251658246;mso-wrap-distance-left:9.00pt;mso-wrap-distance-top:0.00pt;mso-wrap-distance-right:9.00pt;mso-wrap-distance-bottom:0.00pt;mso-wrap-style:square" from="-2.05pt,8.75pt" to="18.10pt,8.75pt" strokeweight="1.00pt" strokecolor="#5b9bd5" filled="f" v:ext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YAAAAAoAAAAAAAAAAAAAAAAAAAAAAAANf///8AAAAAAgAAAK8AAACTAQAAAAAAAAAAAADX/////jA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sz w:val="22"/>
          <w:szCs w:val="22"/>
        </w:rPr>
        <w:t>McGill University</w:t>
      </w:r>
      <w:r>
        <w:rPr>
          <w:rFonts w:ascii="Calibri" w:hAnsi="Calibri" w:cs="Calibri"/>
          <w:sz w:val="22"/>
          <w:szCs w:val="22"/>
        </w:rPr>
        <w:t>, Ph.D. in Physiology (Dean’s Honours List)</w:t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i/>
          <w:sz w:val="22"/>
          <w:szCs w:val="22"/>
        </w:rPr>
        <w:t>Montréal, QC, Canada</w:t>
      </w:r>
      <w:r>
        <w:rPr>
          <w:rFonts w:ascii="Calibri" w:hAnsi="Calibri" w:cs="Calibri"/>
          <w:b/>
          <w:sz w:val="22"/>
          <w:szCs w:val="22"/>
        </w:rPr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>
      <w:pPr>
        <w:rPr>
          <w:rFonts w:ascii="Calibri" w:hAnsi="Calibri" w:cs="Calibri"/>
          <w:i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0" hidden="0" allowOverlap="1">
                <wp:simplePos x="0" y="0"/>
                <wp:positionH relativeFrom="page">
                  <wp:posOffset>-26035</wp:posOffset>
                </wp:positionH>
                <wp:positionV relativeFrom="paragraph">
                  <wp:posOffset>111125</wp:posOffset>
                </wp:positionV>
                <wp:extent cx="255905" cy="0"/>
                <wp:effectExtent l="12700" t="12700" r="12700" b="12700"/>
                <wp:wrapNone/>
                <wp:docPr id="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gAAAAAoAAAAAAAAAAAAAAAAAAAAAAAANf///8AAAAAAgAAAK8AAACTAQAAAAAAAAAAAADX////GDM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33" style="position:absolute;mso-position-horizontal-relative:page;width:20.15pt;height:0.00pt;z-index:251658247;mso-wrap-distance-left:9.00pt;mso-wrap-distance-top:0.00pt;mso-wrap-distance-right:9.00pt;mso-wrap-distance-bottom:0.00pt;mso-wrap-style:square" from="-2.05pt,8.75pt" to="18.10pt,8.75pt" strokeweight="1.00pt" strokecolor="#5b9bd5" filled="f" v:ext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gAAAAAoAAAAAAAAAAAAAAAAAAAAAAAANf///8AAAAAAgAAAK8AAACTAQAAAAAAAAAAAADX////GDM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sz w:val="22"/>
          <w:szCs w:val="22"/>
        </w:rPr>
        <w:t>University of Western Ontario</w:t>
      </w:r>
      <w:r>
        <w:rPr>
          <w:rFonts w:ascii="Calibri" w:hAnsi="Calibri" w:cs="Calibri"/>
          <w:sz w:val="22"/>
          <w:szCs w:val="22"/>
        </w:rPr>
        <w:t>, B.Sc. in Physiology (Honours List)</w:t>
      </w:r>
      <w:r>
        <w:rPr>
          <w:rFonts w:ascii="Calibri" w:hAnsi="Calibri" w:cs="Calibri"/>
          <w:b/>
          <w:sz w:val="22"/>
          <w:szCs w:val="22"/>
        </w:rPr>
        <w:tab/>
        <w:tab/>
        <w:tab/>
        <w:tab/>
      </w:r>
      <w:r>
        <w:rPr>
          <w:rFonts w:ascii="Calibri" w:hAnsi="Calibri" w:cs="Calibri"/>
          <w:i/>
          <w:sz w:val="22"/>
          <w:szCs w:val="22"/>
        </w:rPr>
        <w:t>London, ON, Canad</w:t>
      </w:r>
      <w:r>
        <w:rPr>
          <w:rFonts w:ascii="Calibri" w:hAnsi="Calibri" w:cs="Calibri"/>
          <w:i/>
          <w:sz w:val="22"/>
          <w:szCs w:val="22"/>
        </w:rPr>
        <w:t>a</w:t>
      </w:r>
      <w:r>
        <w:rPr>
          <w:rFonts w:ascii="Calibri" w:hAnsi="Calibri" w:cs="Calibri"/>
          <w:i/>
          <w:sz w:val="22"/>
          <w:szCs w:val="22"/>
        </w:rPr>
      </w:r>
    </w:p>
    <w:p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</w:r>
    </w:p>
    <w:p>
      <w:pPr>
        <w:rPr>
          <w:rFonts w:ascii="Calibri" w:hAnsi="Calibri" w:cs="Calibri"/>
          <w:color w:val="1f4e79"/>
          <w:szCs w:val="24"/>
        </w:rPr>
      </w:pPr>
      <w:r>
        <w:rPr>
          <w:rFonts w:ascii="Calibri" w:hAnsi="Calibri" w:cs="Calibri"/>
          <w:color w:val="1f4e79"/>
          <w:szCs w:val="24"/>
        </w:rPr>
        <w:t>COURSES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0" hidden="0" allowOverlap="1">
                <wp:simplePos x="0" y="0"/>
                <wp:positionH relativeFrom="page">
                  <wp:posOffset>-26035</wp:posOffset>
                </wp:positionH>
                <wp:positionV relativeFrom="page">
                  <wp:posOffset>8825865</wp:posOffset>
                </wp:positionV>
                <wp:extent cx="255905" cy="0"/>
                <wp:effectExtent l="12700" t="12700" r="12700" b="12700"/>
                <wp:wrapNone/>
                <wp:docPr id="14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sAAAAAoAAAAAAAAAAAAAAAAAAAAAAAANf///8AAAAAAAAAAEs2AACTAQAAAAAAAAAAAADX////SzY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1" o:spid="_x0000_s1034" style="position:absolute;mso-position-horizontal-relative:page;mso-position-vertical-relative:page;width:20.15pt;height:0.00pt;z-index:251658254;mso-wrap-distance-left:9.00pt;mso-wrap-distance-top:0.00pt;mso-wrap-distance-right:9.00pt;mso-wrap-distance-bottom:0.00pt;mso-wrap-style:square" from="-2.05pt,694.95pt" to="18.10pt,694.95pt" strokeweight="1.00pt" strokecolor="#5b9bd5" filled="f" v:ext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sAAAAAoAAAAAAAAAAAAAAAAAAAAAAAANf///8AAAAAAAAAAEs2AACTAQAAAAAAAAAAAADX////SzYAACgAAAAIAAAAAQAAAAEAAAAwAAAAFAAAAAAAAAAAAP//AAABAAAA//8AAAEA">
                <w10:wrap type="none" anchorx="page" anchory="page"/>
              </v:line>
            </w:pict>
          </mc:Fallback>
        </mc:AlternateContent>
      </w:r>
      <w:r>
        <w:rPr>
          <w:rFonts w:ascii="Calibri" w:hAnsi="Calibri" w:eastAsia="Calibri" w:cs="Calibri"/>
          <w:sz w:val="22"/>
          <w:szCs w:val="22"/>
        </w:rPr>
        <w:t xml:space="preserve">Google Project Management Certificate: by Google on Coursera                </w:t>
      </w:r>
      <w:r>
        <w:rPr>
          <w:rFonts w:ascii="Calibri" w:hAnsi="Calibri" w:eastAsia="Calibri" w:cs="Calibri"/>
          <w:i/>
          <w:iCs/>
          <w:sz w:val="22"/>
          <w:szCs w:val="22"/>
        </w:rPr>
        <w:t>2024</w:t>
      </w:r>
      <w:r>
        <w:rPr>
          <w:rFonts w:ascii="Calibri" w:hAnsi="Calibri" w:eastAsia="Calibri" w:cs="Calibri"/>
          <w:sz w:val="22"/>
          <w:szCs w:val="22"/>
        </w:rPr>
      </w:r>
    </w:p>
    <w:p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</w:r>
    </w:p>
    <w:p>
      <w:pPr>
        <w:rPr>
          <w:rFonts w:ascii="Calibri" w:hAnsi="Calibri" w:cs="Calibri"/>
          <w:color w:val="1f4e79"/>
          <w:szCs w:val="24"/>
        </w:rPr>
      </w:pPr>
      <w:r>
        <w:rPr>
          <w:rFonts w:ascii="Calibri" w:hAnsi="Calibri" w:cs="Calibri"/>
          <w:color w:val="1f4e79"/>
          <w:szCs w:val="24"/>
        </w:rPr>
        <w:t xml:space="preserve">OUTREACH </w:t>
      </w:r>
    </w:p>
    <w:p>
      <w:pPr>
        <w:rPr>
          <w:rFonts w:ascii="Calibri" w:hAnsi="Calibri" w:cs="Calibri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0" hidden="0" allowOverlap="1">
                <wp:simplePos x="0" y="0"/>
                <wp:positionH relativeFrom="page">
                  <wp:posOffset>-26035</wp:posOffset>
                </wp:positionH>
                <wp:positionV relativeFrom="paragraph">
                  <wp:posOffset>111125</wp:posOffset>
                </wp:positionV>
                <wp:extent cx="255905" cy="0"/>
                <wp:effectExtent l="12700" t="12700" r="12700" b="12700"/>
                <wp:wrapNone/>
                <wp:docPr id="1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4AAAAAoAAAAAAAAAAAAAAAAAAAAAAAANf///8AAAAAAgAAAK8AAACTAQAAAAAAAAAAAADX////ljk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35" style="position:absolute;mso-position-horizontal-relative:page;width:20.15pt;height:0.00pt;z-index:251658251;mso-wrap-distance-left:9.00pt;mso-wrap-distance-top:0.00pt;mso-wrap-distance-right:9.00pt;mso-wrap-distance-bottom:0.00pt;mso-wrap-style:square" from="-2.05pt,8.75pt" to="18.10pt,8.75pt" strokeweight="1.00pt" strokecolor="#5b9bd5" filled="f" v:ext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C4AAAAAoAAAAAAAAAAAAAAAAAAAAAAAANf///8AAAAAAgAAAK8AAACTAQAAAAAAAAAAAADX////ljk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sz w:val="22"/>
          <w:szCs w:val="22"/>
        </w:rPr>
        <w:t>The Innovation Institute</w:t>
        <w:tab/>
        <w:tab/>
        <w:tab/>
        <w:tab/>
        <w:tab/>
        <w:tab/>
      </w:r>
      <w:r>
        <w:rPr>
          <w:rFonts w:ascii="Calibri" w:hAnsi="Calibri" w:cs="Calibri"/>
          <w:i/>
          <w:sz w:val="22"/>
          <w:szCs w:val="22"/>
        </w:rPr>
        <w:t>2019-2021</w:t>
        <w:tab/>
        <w:tab/>
        <w:t>Newton, MA, USA</w:t>
      </w:r>
      <w:r>
        <w:rPr>
          <w:rFonts w:ascii="Calibri" w:hAnsi="Calibri" w:cs="Calibri"/>
          <w:b/>
          <w:sz w:val="22"/>
          <w:szCs w:val="22"/>
        </w:rPr>
      </w:r>
    </w:p>
    <w:p>
      <w:pPr>
        <w:pStyle w:val="para1"/>
        <w:numPr>
          <w:ilvl w:val="0"/>
          <w:numId w:val="7"/>
        </w:numPr>
        <w:ind w:left="144" w:hanging="144"/>
        <w:tabs defTabSz="720">
          <w:tab w:val="left" w:pos="185" w:leader="none"/>
          <w:tab w:val="left" w:pos="265" w:leader="none"/>
          <w:tab w:val="left" w:pos="358" w:leader="none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Instruction of grade 4-5 students in hands-on science exploration of body systems (e.g. muscles, CNS, bones)</w:t>
      </w:r>
    </w:p>
    <w:p>
      <w:pPr>
        <w:rPr>
          <w:rFonts w:ascii="Calibri" w:hAnsi="Calibri" w:cs="Calibri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page">
                  <wp:posOffset>-26035</wp:posOffset>
                </wp:positionH>
                <wp:positionV relativeFrom="paragraph">
                  <wp:posOffset>111125</wp:posOffset>
                </wp:positionV>
                <wp:extent cx="255905" cy="0"/>
                <wp:effectExtent l="12700" t="12700" r="12700" b="12700"/>
                <wp:wrapNone/>
                <wp:docPr id="1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DAAAAAIoAAAAAAAAAAAAAAAAAAAAAAAANf///8AAAAAAgAAAK8AAACTAQAAAAAAAAEAAADX/////QQ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36" style="position:absolute;mso-position-horizontal-relative:page;width:20.15pt;height:0.00pt;z-index:251658252;mso-wrap-distance-left:9.00pt;mso-wrap-distance-top:0.00pt;mso-wrap-distance-right:9.00pt;mso-wrap-distance-bottom:0.00pt;mso-wrap-style:square" from="-2.05pt,8.75pt" to="18.10pt,8.75pt" strokeweight="1.00pt" strokecolor="#5b9bd5" filled="f" v:ext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DAAAAAIoAAAAAAAAAAAAAAAAAAAAAAAANf///8AAAAAAgAAAK8AAACTAQAAAAAAAAEAAADX/////QQ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sz w:val="22"/>
          <w:szCs w:val="22"/>
        </w:rPr>
        <w:t>Science from Scientists</w:t>
      </w:r>
      <w:r>
        <w:rPr>
          <w:rFonts w:ascii="Calibri" w:hAnsi="Calibri" w:cs="Calibri"/>
          <w:sz w:val="22"/>
          <w:szCs w:val="22"/>
        </w:rPr>
        <w:t xml:space="preserve">  </w:t>
        <w:tab/>
        <w:tab/>
        <w:tab/>
        <w:tab/>
        <w:tab/>
        <w:tab/>
      </w:r>
      <w:r>
        <w:rPr>
          <w:rFonts w:ascii="Calibri" w:hAnsi="Calibri" w:cs="Calibri"/>
          <w:i/>
          <w:sz w:val="22"/>
          <w:szCs w:val="22"/>
        </w:rPr>
        <w:t xml:space="preserve">2014-2017                     </w:t>
        <w:tab/>
        <w:t>Bedford, MA, USA</w:t>
      </w:r>
      <w:r>
        <w:rPr>
          <w:rFonts w:ascii="Calibri" w:hAnsi="Calibri" w:cs="Calibri"/>
          <w:b/>
          <w:sz w:val="22"/>
          <w:szCs w:val="22"/>
        </w:rPr>
      </w:r>
    </w:p>
    <w:p>
      <w:pPr>
        <w:pStyle w:val="para1"/>
        <w:numPr>
          <w:ilvl w:val="0"/>
          <w:numId w:val="7"/>
        </w:numPr>
        <w:ind w:left="144" w:hanging="14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Taught engaging lessons to 4th grade students with the mission to improve attitudes and aptitudes in STEM fields.</w:t>
      </w:r>
    </w:p>
    <w:p>
      <w:pPr>
        <w:pStyle w:val="para1"/>
        <w:ind w:left="14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>
      <w:pPr>
        <w:rPr>
          <w:rFonts w:ascii="Calibri" w:hAnsi="Calibri" w:cs="Calibri"/>
          <w:b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0" hidden="0" allowOverlap="1">
                <wp:simplePos x="0" y="0"/>
                <wp:positionH relativeFrom="page">
                  <wp:posOffset>-29845</wp:posOffset>
                </wp:positionH>
                <wp:positionV relativeFrom="paragraph">
                  <wp:posOffset>97790</wp:posOffset>
                </wp:positionV>
                <wp:extent cx="255905" cy="0"/>
                <wp:effectExtent l="12700" t="12700" r="12700" b="12700"/>
                <wp:wrapNone/>
                <wp:docPr id="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DMAAAAIoAAAAAAAAAAAAAAAAAAAAAAAANH///8AAAAAAgAAAJoAAACTAQAAAAAAAAEAAADR////Dwg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37" style="position:absolute;mso-position-horizontal-relative:page;width:20.15pt;height:0.00pt;z-index:251658248;mso-wrap-distance-left:9.00pt;mso-wrap-distance-top:0.00pt;mso-wrap-distance-right:9.00pt;mso-wrap-distance-bottom:0.00pt;mso-wrap-style:square" from="-2.35pt,7.70pt" to="17.80pt,7.70pt" strokeweight="1.00pt" strokecolor="#5b9bd5" filled="f" v:ext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DMAAAAIoAAAAAAAAAAAAAAAAAAAAAAAANH///8AAAAAAgAAAJoAAACTAQAAAAAAAAEAAADR////Dwg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color w:val="000000"/>
          <w:sz w:val="22"/>
          <w:szCs w:val="22"/>
        </w:rPr>
        <w:t>Judge for Middle and High Schools Science Fairs</w:t>
      </w:r>
    </w:p>
    <w:p>
      <w:pPr>
        <w:pStyle w:val="para1"/>
        <w:numPr>
          <w:ilvl w:val="0"/>
          <w:numId w:val="3"/>
        </w:numPr>
        <w:ind w:left="144" w:hanging="144"/>
        <w:spacing/>
        <w:jc w:val="both"/>
        <w:rPr>
          <w:rFonts w:ascii="Calibri" w:hAnsi="Calibri" w:cs="Calibri"/>
          <w:i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Boston Public School Citywide Science Fair </w:t>
        <w:tab/>
        <w:tab/>
        <w:tab/>
        <w:tab/>
      </w:r>
      <w:r>
        <w:rPr>
          <w:rFonts w:ascii="Calibri" w:hAnsi="Calibri" w:cs="Calibri"/>
          <w:i/>
          <w:sz w:val="22"/>
          <w:szCs w:val="22"/>
        </w:rPr>
        <w:t>2016-2017</w:t>
      </w:r>
      <w:r>
        <w:rPr>
          <w:rFonts w:ascii="Calibri" w:hAnsi="Calibri" w:cs="Calibri"/>
          <w:i/>
          <w:sz w:val="22"/>
          <w:szCs w:val="22"/>
        </w:rPr>
        <w:t>, 2023</w:t>
      </w:r>
      <w:r>
        <w:rPr>
          <w:rFonts w:ascii="Calibri" w:hAnsi="Calibri" w:cs="Calibri"/>
          <w:i/>
          <w:sz w:val="22"/>
          <w:szCs w:val="22"/>
        </w:rPr>
        <w:t>-24</w:t>
      </w:r>
      <w:r>
        <w:rPr>
          <w:rFonts w:ascii="Calibri" w:hAnsi="Calibri" w:cs="Calibri"/>
          <w:i/>
          <w:sz w:val="22"/>
          <w:szCs w:val="22"/>
        </w:rPr>
        <w:t xml:space="preserve">              Boston, MA, USA</w:t>
      </w:r>
      <w:r>
        <w:rPr>
          <w:rFonts w:ascii="Calibri" w:hAnsi="Calibri" w:cs="Calibri"/>
          <w:i/>
          <w:color w:val="000000"/>
          <w:sz w:val="22"/>
          <w:szCs w:val="22"/>
        </w:rPr>
      </w:r>
    </w:p>
    <w:p>
      <w:pPr>
        <w:pStyle w:val="para1"/>
        <w:numPr>
          <w:ilvl w:val="0"/>
          <w:numId w:val="3"/>
        </w:numPr>
        <w:ind w:left="144" w:hanging="144"/>
        <w:spacing/>
        <w:jc w:val="both"/>
        <w:rPr>
          <w:rFonts w:ascii="Calibri" w:hAnsi="Calibri" w:cs="Calibri"/>
          <w:i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Massachusetts State High School Science and Engineering Fair     </w:t>
        <w:tab/>
      </w:r>
      <w:r>
        <w:rPr>
          <w:rFonts w:ascii="Calibri" w:hAnsi="Calibri" w:cs="Calibri"/>
          <w:i/>
          <w:sz w:val="22"/>
          <w:szCs w:val="22"/>
        </w:rPr>
        <w:t>2009-202</w:t>
      </w:r>
      <w:r>
        <w:rPr>
          <w:rFonts w:ascii="Calibri" w:hAnsi="Calibri" w:cs="Calibri"/>
          <w:i/>
          <w:sz w:val="22"/>
          <w:szCs w:val="22"/>
        </w:rPr>
        <w:t>3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sz w:val="22"/>
          <w:szCs w:val="22"/>
        </w:rPr>
        <w:tab/>
      </w:r>
      <w:r>
        <w:rPr>
          <w:rFonts w:ascii="Calibri" w:hAnsi="Calibri" w:cs="Calibri"/>
          <w:i/>
          <w:sz w:val="22"/>
          <w:szCs w:val="22"/>
        </w:rPr>
        <w:t>Cambridge, MA, USA</w:t>
      </w:r>
      <w:r>
        <w:rPr>
          <w:rFonts w:ascii="Calibri" w:hAnsi="Calibri" w:cs="Calibri"/>
          <w:i/>
          <w:color w:val="000000"/>
          <w:sz w:val="22"/>
          <w:szCs w:val="22"/>
        </w:rPr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>
      <w:pPr>
        <w:rPr>
          <w:rFonts w:ascii="Calibri" w:hAnsi="Calibri" w:cs="Calibri"/>
          <w:color w:val="1f4e79"/>
          <w:szCs w:val="24"/>
        </w:rPr>
      </w:pPr>
      <w:r>
        <w:rPr>
          <w:rFonts w:ascii="Calibri" w:hAnsi="Calibri" w:cs="Calibri"/>
          <w:color w:val="1f4e79"/>
          <w:szCs w:val="24"/>
        </w:rPr>
        <w:t>PUBLICATIONS</w:t>
      </w:r>
    </w:p>
    <w:p>
      <w:pPr>
        <w:rPr>
          <w:rFonts w:ascii="Calibri" w:hAnsi="Calibri" w:cs="Calibri"/>
          <w:b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page">
                  <wp:posOffset>-29845</wp:posOffset>
                </wp:positionH>
                <wp:positionV relativeFrom="paragraph">
                  <wp:posOffset>97790</wp:posOffset>
                </wp:positionV>
                <wp:extent cx="255905" cy="0"/>
                <wp:effectExtent l="12700" t="12700" r="12700" b="12700"/>
                <wp:wrapNone/>
                <wp:docPr id="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HdLmZ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DgAAAAIoAAAAAAAAAAAAAAAAAAAAAAAANH///8AAAAAAgAAAJoAAACTAQAAAAAAAAEAAADR////aA0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38" style="position:absolute;mso-position-horizontal-relative:page;width:20.15pt;height:0.00pt;z-index:251658249;mso-wrap-distance-left:9.00pt;mso-wrap-distance-top:0.00pt;mso-wrap-distance-right:9.00pt;mso-wrap-distance-bottom:0.00pt;mso-wrap-style:square" from="-2.35pt,7.70pt" to="17.80pt,7.70pt" strokeweight="1.00pt" strokecolor="#5b9bd5" filled="f" v:ext="SMDATA_15_HdLmZ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DgAAAAIoAAAAAAAAAAAAAAAAAAAAAAAANH///8AAAAAAgAAAJoAAACTAQAAAAAAAAEAAADR////aA0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color w:val="000000"/>
          <w:sz w:val="22"/>
          <w:szCs w:val="22"/>
        </w:rPr>
        <w:t>Book</w:t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Bundgaard, M.H. and Roy, J.E., The Motivated Brain. Coppenhagen:CreateSpace, 2014.</w:t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</w:p>
    <w:p>
      <w:pPr>
        <w:rPr>
          <w:rFonts w:ascii="Calibri" w:hAnsi="Calibri" w:cs="Calibri"/>
          <w:b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page">
                  <wp:posOffset>-29845</wp:posOffset>
                </wp:positionH>
                <wp:positionV relativeFrom="paragraph">
                  <wp:posOffset>97790</wp:posOffset>
                </wp:positionV>
                <wp:extent cx="255905" cy="0"/>
                <wp:effectExtent l="12700" t="12700" r="12700" b="12700"/>
                <wp:wrapNone/>
                <wp:docPr id="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codePr string="" type="312" text="1"/>
                        <a:extLst>
                          <a:ext uri="sm">
                            <sm:smNativeData xmlns:sm="sm" val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DsAAAAIoAAAAAAAAAAAAAAAAAAAAAAAANH///8AAAAAAgAAAJoAAACTAQAAAAAAAAEAAADR////jxA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39" style="position:absolute;mso-position-horizontal-relative:page;width:20.15pt;height:0.00pt;z-index:251658250;mso-wrap-distance-left:9.00pt;mso-wrap-distance-top:0.00pt;mso-wrap-distance-right:9.00pt;mso-wrap-distance-bottom:0.00pt;mso-wrap-style:square" from="-2.35pt,7.70pt" to="17.80pt,7.70pt" strokeweight="1.00pt" strokecolor="#5b9bd5" filled="f" v:ext="SMDATA_15_HdLm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DsAAAAIoAAAAAAAAAAAAAAAAAAAAAAAANH///8AAAAAAgAAAJoAAACTAQAAAAAAAAEAAADR////jxAAACgAAAAIAAAAAQAAAAEAAAAwAAAAFAAAAAAAAAAAAP//AAABAAAA//8AAAEA">
                <w10:wrap type="none" anchorx="page" anchory="text"/>
              </v:line>
            </w:pict>
          </mc:Fallback>
        </mc:AlternateContent>
      </w:r>
      <w:r>
        <w:rPr>
          <w:rFonts w:ascii="Calibri" w:hAnsi="Calibri" w:cs="Calibri"/>
          <w:b/>
          <w:color w:val="000000"/>
          <w:sz w:val="22"/>
          <w:szCs w:val="22"/>
        </w:rPr>
        <w:t>Select Manuscripts</w:t>
      </w:r>
    </w:p>
    <w:p>
      <w:pPr>
        <w:ind w:left="450" w:hanging="45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Bardon, A.G., Ballesteros, J.J., Brincat, S.L., </w:t>
      </w:r>
      <w:r>
        <w:rPr>
          <w:rFonts w:ascii="Calibri" w:hAnsi="Calibri" w:eastAsia="Calibri" w:cs="Calibri"/>
          <w:b/>
          <w:bCs/>
          <w:sz w:val="22"/>
          <w:szCs w:val="22"/>
        </w:rPr>
        <w:t>Roy, J.E.</w:t>
      </w:r>
      <w:r>
        <w:rPr>
          <w:rFonts w:ascii="Calibri" w:hAnsi="Calibri" w:eastAsia="Calibri" w:cs="Calibri"/>
          <w:sz w:val="22"/>
          <w:szCs w:val="22"/>
        </w:rPr>
        <w:t>, Mahnke, M.M., Ishizawa, Y., Brown, E.N., and Miller, E.K. (2025) Convergent effects of different anesthetics on changes in phase alignment of cortical oscillations, </w:t>
      </w:r>
      <w:r>
        <w:rPr>
          <w:rFonts w:ascii="Calibri" w:hAnsi="Calibri" w:eastAsia="Calibri" w:cs="Calibri"/>
          <w:i/>
          <w:iCs/>
          <w:sz w:val="22"/>
          <w:szCs w:val="22"/>
        </w:rPr>
        <w:t>Cell Reports</w:t>
      </w:r>
      <w:r>
        <w:rPr>
          <w:rFonts w:ascii="Calibri" w:hAnsi="Calibri" w:eastAsia="Calibri" w:cs="Calibri"/>
          <w:sz w:val="22"/>
          <w:szCs w:val="22"/>
        </w:rPr>
        <w:t>, in press.</w:t>
      </w:r>
    </w:p>
    <w:p>
      <w:pPr>
        <w:pStyle w:val="para2"/>
        <w:ind w:left="450" w:hanging="450"/>
        <w:spacing w:line="276" w:lineRule="auto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Miller, E.K., Brincat, S.L., and </w:t>
      </w:r>
      <w:r>
        <w:rPr>
          <w:rFonts w:ascii="Calibri" w:hAnsi="Calibri" w:cs="Calibri"/>
          <w:b/>
          <w:bCs/>
          <w:iCs/>
          <w:sz w:val="22"/>
          <w:szCs w:val="22"/>
        </w:rPr>
        <w:t>Roy, J.E.</w:t>
      </w:r>
      <w:r>
        <w:rPr>
          <w:rFonts w:ascii="Calibri" w:hAnsi="Calibri" w:cs="Calibri"/>
          <w:iCs/>
          <w:sz w:val="22"/>
          <w:szCs w:val="22"/>
        </w:rPr>
        <w:t xml:space="preserve"> Cognition is an emergent property. </w:t>
      </w:r>
      <w:r>
        <w:rPr>
          <w:rFonts w:ascii="Calibri" w:hAnsi="Calibri" w:cs="Calibri"/>
          <w:i/>
          <w:sz w:val="22"/>
          <w:szCs w:val="22"/>
        </w:rPr>
        <w:t>Curr. Opin. Behav. Sci.</w:t>
      </w:r>
      <w:r>
        <w:rPr>
          <w:rFonts w:ascii="Calibri" w:hAnsi="Calibri" w:cs="Calibri"/>
          <w:iCs/>
          <w:sz w:val="22"/>
          <w:szCs w:val="22"/>
        </w:rPr>
        <w:t>, in press, 2024.</w:t>
      </w:r>
      <w:r>
        <w:rPr>
          <w:rFonts w:ascii="Calibri" w:hAnsi="Calibri" w:cs="Calibri"/>
          <w:iCs/>
          <w:sz w:val="22"/>
          <w:szCs w:val="22"/>
        </w:rPr>
      </w:r>
    </w:p>
    <w:p>
      <w:pPr>
        <w:pStyle w:val="para2"/>
        <w:ind w:left="450" w:hanging="450"/>
        <w:spacing w:line="276" w:lineRule="auto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Bastos, A.M., Donoghue, J.A., Brincat, S.L., Mahnke, M., Yanar, J., Correa, J., Waite, A.S., Lundqvist, M., </w:t>
      </w:r>
      <w:r>
        <w:rPr>
          <w:rFonts w:ascii="Calibri" w:hAnsi="Calibri" w:cs="Calibri"/>
          <w:b/>
          <w:iCs/>
          <w:sz w:val="22"/>
          <w:szCs w:val="22"/>
        </w:rPr>
        <w:t>Roy, J.</w:t>
      </w:r>
      <w:r>
        <w:rPr>
          <w:rFonts w:ascii="Calibri" w:hAnsi="Calibri" w:cs="Calibri"/>
          <w:iCs/>
          <w:sz w:val="22"/>
          <w:szCs w:val="22"/>
        </w:rPr>
        <w:t xml:space="preserve">, Brown, E.N. and Miller, E.K. Neural effects of propofol-induced unconsciousness and its reversal using thalamic stimulation. </w:t>
      </w:r>
      <w:r>
        <w:rPr>
          <w:rFonts w:ascii="Calibri" w:hAnsi="Calibri" w:cs="Calibri"/>
          <w:i/>
          <w:sz w:val="22"/>
          <w:szCs w:val="22"/>
        </w:rPr>
        <w:t>eLife</w:t>
      </w:r>
      <w:r>
        <w:rPr>
          <w:rFonts w:ascii="Calibri" w:hAnsi="Calibri" w:cs="Calibri"/>
          <w:iCs/>
          <w:sz w:val="22"/>
          <w:szCs w:val="22"/>
        </w:rPr>
        <w:t>, DOI: 10.7554/eLife.60824</w:t>
      </w:r>
      <w:r>
        <w:rPr>
          <w:rFonts w:ascii="Calibri" w:hAnsi="Calibri" w:cs="Calibri"/>
          <w:iCs/>
          <w:sz w:val="22"/>
          <w:szCs w:val="22"/>
        </w:rPr>
        <w:t>, 2021.</w:t>
      </w:r>
      <w:r>
        <w:rPr>
          <w:rFonts w:ascii="Calibri" w:hAnsi="Calibri" w:cs="Calibri"/>
          <w:iCs/>
          <w:sz w:val="22"/>
          <w:szCs w:val="22"/>
        </w:rPr>
      </w:r>
    </w:p>
    <w:p>
      <w:pPr>
        <w:pStyle w:val="para2"/>
        <w:ind w:left="450" w:hanging="450"/>
        <w:spacing w:line="276" w:lineRule="auto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Tiganj, Z., Cromer, J.A., </w:t>
      </w:r>
      <w:r>
        <w:rPr>
          <w:rFonts w:ascii="Calibri" w:hAnsi="Calibri" w:cs="Calibri"/>
          <w:b/>
          <w:iCs/>
          <w:sz w:val="22"/>
          <w:szCs w:val="22"/>
        </w:rPr>
        <w:t>Roy, J.E.</w:t>
      </w:r>
      <w:r>
        <w:rPr>
          <w:rFonts w:ascii="Calibri" w:hAnsi="Calibri" w:cs="Calibri"/>
          <w:iCs/>
          <w:sz w:val="22"/>
          <w:szCs w:val="22"/>
        </w:rPr>
        <w:t xml:space="preserve">, Miller, E.K., and Howard, M.W. Compressed Timeline of Recent Experience in Monkey lPFC. </w:t>
      </w:r>
      <w:r>
        <w:rPr>
          <w:rFonts w:ascii="Calibri" w:hAnsi="Calibri" w:cs="Calibri"/>
          <w:i/>
          <w:iCs/>
          <w:sz w:val="22"/>
          <w:szCs w:val="22"/>
        </w:rPr>
        <w:t>J.Cogn. Neurosci</w:t>
      </w:r>
      <w:r>
        <w:rPr>
          <w:rFonts w:ascii="Calibri" w:hAnsi="Calibri" w:cs="Calibri"/>
          <w:iCs/>
          <w:sz w:val="22"/>
          <w:szCs w:val="22"/>
        </w:rPr>
        <w:t>, 1-16, 2018.</w:t>
      </w:r>
    </w:p>
    <w:p>
      <w:pPr>
        <w:pStyle w:val="para2"/>
        <w:ind w:left="450" w:hanging="450"/>
        <w:spacing w:line="276" w:lineRule="auto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Wutz, A., Loonis, R., </w:t>
      </w:r>
      <w:r>
        <w:rPr>
          <w:rFonts w:ascii="Calibri" w:hAnsi="Calibri" w:cs="Calibri"/>
          <w:b/>
          <w:iCs/>
          <w:sz w:val="22"/>
          <w:szCs w:val="22"/>
        </w:rPr>
        <w:t>Roy, J.E.</w:t>
      </w:r>
      <w:r>
        <w:rPr>
          <w:rFonts w:ascii="Calibri" w:hAnsi="Calibri" w:cs="Calibri"/>
          <w:iCs/>
          <w:sz w:val="22"/>
          <w:szCs w:val="22"/>
        </w:rPr>
        <w:t xml:space="preserve">, Donoghue, J.A., and Miller, E.K. Different levels of category abstraction by different dynamics in different prefrontal areas. </w:t>
      </w:r>
      <w:r>
        <w:rPr>
          <w:rFonts w:ascii="Calibri" w:hAnsi="Calibri" w:cs="Calibri"/>
          <w:i/>
          <w:iCs/>
          <w:sz w:val="22"/>
          <w:szCs w:val="22"/>
        </w:rPr>
        <w:t xml:space="preserve">Neuron, </w:t>
      </w:r>
      <w:r>
        <w:rPr>
          <w:rFonts w:ascii="Calibri" w:hAnsi="Calibri" w:cs="Calibri"/>
          <w:iCs/>
          <w:sz w:val="22"/>
          <w:szCs w:val="22"/>
        </w:rPr>
        <w:t>97, 716-726, 2018.</w:t>
      </w:r>
    </w:p>
    <w:p>
      <w:pPr>
        <w:pStyle w:val="para2"/>
        <w:ind w:left="450" w:hanging="450"/>
        <w:spacing w:line="276" w:lineRule="auto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Stanley, D.A., </w:t>
      </w:r>
      <w:r>
        <w:rPr>
          <w:rFonts w:ascii="Calibri" w:hAnsi="Calibri" w:cs="Calibri"/>
          <w:b/>
          <w:iCs/>
          <w:sz w:val="22"/>
          <w:szCs w:val="22"/>
        </w:rPr>
        <w:t>Roy, J.E.</w:t>
      </w:r>
      <w:r>
        <w:rPr>
          <w:rFonts w:ascii="Calibri" w:hAnsi="Calibri" w:cs="Calibri"/>
          <w:iCs/>
          <w:sz w:val="22"/>
          <w:szCs w:val="22"/>
        </w:rPr>
        <w:t xml:space="preserve">, Aoi, M.C., Kopell, N.J., and Miller, E.K. Low-beta Oscillations Turn Up the Gain During Category Judgments. </w:t>
      </w:r>
      <w:r>
        <w:rPr>
          <w:rFonts w:ascii="Calibri" w:hAnsi="Calibri" w:cs="Calibri"/>
          <w:i/>
          <w:iCs/>
          <w:sz w:val="22"/>
          <w:szCs w:val="22"/>
        </w:rPr>
        <w:t>Cerebral Cortex</w:t>
      </w:r>
      <w:r>
        <w:rPr>
          <w:rFonts w:ascii="Calibri" w:hAnsi="Calibri" w:cs="Calibri"/>
          <w:iCs/>
          <w:sz w:val="22"/>
          <w:szCs w:val="22"/>
        </w:rPr>
        <w:t>, 28, 116-130, 2018.</w:t>
      </w:r>
    </w:p>
    <w:p>
      <w:pPr>
        <w:pStyle w:val="para2"/>
        <w:ind w:left="450" w:hanging="450"/>
        <w:spacing w:line="276" w:lineRule="auto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iCs/>
          <w:sz w:val="22"/>
          <w:szCs w:val="22"/>
        </w:rPr>
        <w:t>Roy, J.E.</w:t>
      </w:r>
      <w:r>
        <w:rPr>
          <w:rFonts w:ascii="Calibri" w:hAnsi="Calibri" w:cs="Calibri"/>
          <w:iCs/>
          <w:sz w:val="22"/>
          <w:szCs w:val="22"/>
        </w:rPr>
        <w:t xml:space="preserve">, Buschman, T.J., and Miller, E.K. Prefrontal Cortex Neurons Reflect Categorical Decisions About </w:t>
      </w:r>
      <w:r>
        <w:rPr>
          <w:rFonts w:ascii="Calibri" w:hAnsi="Calibri" w:cs="Calibri"/>
          <w:iCs/>
          <w:sz w:val="22"/>
          <w:szCs w:val="22"/>
          <w:lang w:val="fr-ca"/>
        </w:rPr>
        <w:t xml:space="preserve">Ambiguous Stimuli. </w:t>
      </w:r>
      <w:r>
        <w:rPr>
          <w:rFonts w:ascii="Calibri" w:hAnsi="Calibri" w:cs="Calibri"/>
          <w:i/>
          <w:iCs/>
          <w:sz w:val="22"/>
          <w:szCs w:val="22"/>
          <w:lang w:val="fr-ca"/>
        </w:rPr>
        <w:t>J.Cogn. Neurosci</w:t>
      </w:r>
      <w:r>
        <w:rPr>
          <w:rFonts w:ascii="Calibri" w:hAnsi="Calibri" w:cs="Calibri"/>
          <w:iCs/>
          <w:sz w:val="22"/>
          <w:szCs w:val="22"/>
          <w:lang w:val="fr-ca"/>
        </w:rPr>
        <w:t>, 26, 1283-1291, 2014.</w:t>
      </w:r>
      <w:r>
        <w:rPr>
          <w:rFonts w:ascii="Calibri" w:hAnsi="Calibri" w:cs="Calibri"/>
          <w:iCs/>
          <w:sz w:val="22"/>
          <w:szCs w:val="22"/>
        </w:rPr>
      </w:r>
    </w:p>
    <w:p>
      <w:pPr>
        <w:pStyle w:val="para2"/>
        <w:ind w:left="450" w:hanging="450"/>
        <w:spacing w:line="276" w:lineRule="auto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Buschman, T.J., Siegel, M., </w:t>
      </w:r>
      <w:r>
        <w:rPr>
          <w:rFonts w:ascii="Calibri" w:hAnsi="Calibri" w:cs="Calibri"/>
          <w:b/>
          <w:iCs/>
          <w:sz w:val="22"/>
          <w:szCs w:val="22"/>
        </w:rPr>
        <w:t>Roy, J.E.</w:t>
      </w:r>
      <w:r>
        <w:rPr>
          <w:rFonts w:ascii="Calibri" w:hAnsi="Calibri" w:cs="Calibri"/>
          <w:iCs/>
          <w:sz w:val="22"/>
          <w:szCs w:val="22"/>
        </w:rPr>
        <w:t xml:space="preserve">, and Miller, E.K. Neural Substrates of Cognitive Capacity Limitations. </w:t>
      </w:r>
      <w:r>
        <w:rPr>
          <w:rFonts w:ascii="Calibri" w:hAnsi="Calibri" w:cs="Calibri"/>
          <w:i/>
          <w:iCs/>
          <w:sz w:val="22"/>
          <w:szCs w:val="22"/>
        </w:rPr>
        <w:t>PNAS</w:t>
      </w:r>
      <w:r>
        <w:rPr>
          <w:rFonts w:ascii="Calibri" w:hAnsi="Calibri" w:cs="Calibri"/>
          <w:iCs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108, 11252-11255, 2011</w:t>
      </w:r>
      <w:r>
        <w:rPr>
          <w:rFonts w:ascii="Calibri" w:hAnsi="Calibri" w:cs="Calibri"/>
          <w:iCs/>
          <w:sz w:val="22"/>
          <w:szCs w:val="22"/>
        </w:rPr>
        <w:t xml:space="preserve">. </w:t>
      </w:r>
      <w:r>
        <w:rPr>
          <w:rFonts w:ascii="Calibri" w:hAnsi="Calibri" w:cs="Calibri"/>
          <w:iCs/>
          <w:sz w:val="22"/>
          <w:szCs w:val="22"/>
        </w:rPr>
      </w:r>
    </w:p>
    <w:p>
      <w:pPr>
        <w:pStyle w:val="para2"/>
        <w:ind w:left="450" w:hanging="450"/>
        <w:spacing w:line="276" w:lineRule="auto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Cromer, J., </w:t>
      </w:r>
      <w:r>
        <w:rPr>
          <w:rFonts w:ascii="Calibri" w:hAnsi="Calibri" w:cs="Calibri"/>
          <w:b/>
          <w:iCs/>
          <w:sz w:val="22"/>
          <w:szCs w:val="22"/>
        </w:rPr>
        <w:t>Roy, J.E.</w:t>
      </w:r>
      <w:r>
        <w:rPr>
          <w:rFonts w:ascii="Calibri" w:hAnsi="Calibri" w:cs="Calibri"/>
          <w:iCs/>
          <w:sz w:val="22"/>
          <w:szCs w:val="22"/>
        </w:rPr>
        <w:t>, Buschman, T.J., and Miller, E.K.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 xml:space="preserve">Comparison of Primate Prefrontal and Premotor Cortex Neuronal Activity During Visual Categorization. </w:t>
      </w:r>
      <w:r>
        <w:rPr>
          <w:rFonts w:ascii="Calibri" w:hAnsi="Calibri" w:cs="Calibri"/>
          <w:i/>
          <w:iCs/>
          <w:sz w:val="22"/>
          <w:szCs w:val="22"/>
        </w:rPr>
        <w:t xml:space="preserve">J. </w:t>
      </w:r>
      <w:r>
        <w:rPr>
          <w:rFonts w:ascii="Calibri" w:hAnsi="Calibri" w:cs="Calibri"/>
          <w:i/>
          <w:iCs/>
          <w:sz w:val="22"/>
          <w:szCs w:val="22"/>
        </w:rPr>
        <w:t>Cogn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z w:val="22"/>
          <w:szCs w:val="22"/>
        </w:rPr>
        <w:t>Neurosci</w:t>
      </w:r>
      <w:r>
        <w:rPr>
          <w:rFonts w:ascii="Calibri" w:hAnsi="Calibri" w:cs="Calibri"/>
          <w:i/>
          <w:iCs/>
          <w:sz w:val="22"/>
          <w:szCs w:val="22"/>
        </w:rPr>
        <w:t xml:space="preserve">, </w:t>
      </w:r>
      <w:r>
        <w:rPr>
          <w:rFonts w:ascii="Calibri" w:hAnsi="Calibri" w:cs="Calibri"/>
          <w:iCs/>
          <w:sz w:val="22"/>
          <w:szCs w:val="22"/>
        </w:rPr>
        <w:t>23, 3355-3365, 2011.</w:t>
      </w:r>
      <w:r>
        <w:rPr>
          <w:rFonts w:ascii="Calibri" w:hAnsi="Calibri" w:cs="Calibri"/>
          <w:iCs/>
          <w:sz w:val="22"/>
          <w:szCs w:val="22"/>
        </w:rPr>
      </w:r>
    </w:p>
    <w:p>
      <w:pPr>
        <w:pStyle w:val="para2"/>
        <w:ind w:left="450" w:hanging="450"/>
        <w:spacing w:line="276" w:lineRule="auto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b/>
          <w:iCs/>
          <w:sz w:val="22"/>
          <w:szCs w:val="22"/>
        </w:rPr>
        <w:t>Roy, J.E.</w:t>
      </w:r>
      <w:r>
        <w:rPr>
          <w:rFonts w:ascii="Calibri" w:hAnsi="Calibri" w:cs="Calibri"/>
          <w:iCs/>
          <w:sz w:val="22"/>
          <w:szCs w:val="22"/>
        </w:rPr>
        <w:t xml:space="preserve">, Riesenhuber, M., Poggio, T., and Miller, E.K. Prefrontal Cortex Activity during Flexible Categorization. </w:t>
      </w:r>
      <w:r>
        <w:rPr>
          <w:rFonts w:ascii="Calibri" w:hAnsi="Calibri" w:cs="Calibri"/>
          <w:i/>
          <w:iCs/>
          <w:sz w:val="22"/>
          <w:szCs w:val="22"/>
        </w:rPr>
        <w:t xml:space="preserve">J. </w:t>
      </w:r>
      <w:r>
        <w:rPr>
          <w:rFonts w:ascii="Calibri" w:hAnsi="Calibri" w:cs="Calibri"/>
          <w:i/>
          <w:iCs/>
          <w:sz w:val="22"/>
          <w:szCs w:val="22"/>
        </w:rPr>
        <w:t>Neurosci</w:t>
      </w:r>
      <w:r>
        <w:rPr>
          <w:rFonts w:ascii="Calibri" w:hAnsi="Calibri" w:cs="Calibri"/>
          <w:i/>
          <w:iCs/>
          <w:sz w:val="22"/>
          <w:szCs w:val="22"/>
        </w:rPr>
        <w:t>.</w:t>
      </w:r>
      <w:r>
        <w:rPr>
          <w:rFonts w:ascii="Calibri" w:hAnsi="Calibri" w:cs="Calibri"/>
          <w:iCs/>
          <w:sz w:val="22"/>
          <w:szCs w:val="22"/>
        </w:rPr>
        <w:t xml:space="preserve"> 30, 8519-8528, 2010.</w:t>
      </w:r>
      <w:r>
        <w:rPr>
          <w:rFonts w:ascii="Calibri" w:hAnsi="Calibri" w:cs="Calibri"/>
          <w:i/>
          <w:iCs/>
          <w:sz w:val="22"/>
          <w:szCs w:val="22"/>
        </w:rPr>
      </w:r>
    </w:p>
    <w:p>
      <w:pPr>
        <w:pStyle w:val="para2"/>
        <w:ind w:left="450" w:hanging="450"/>
        <w:spacing w:line="276" w:lineRule="auto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Cromer, J., </w:t>
      </w:r>
      <w:r>
        <w:rPr>
          <w:rFonts w:ascii="Calibri" w:hAnsi="Calibri" w:cs="Calibri"/>
          <w:b/>
          <w:iCs/>
          <w:sz w:val="22"/>
          <w:szCs w:val="22"/>
        </w:rPr>
        <w:t>Roy, J.E.</w:t>
      </w:r>
      <w:r>
        <w:rPr>
          <w:rFonts w:ascii="Calibri" w:hAnsi="Calibri" w:cs="Calibri"/>
          <w:iCs/>
          <w:sz w:val="22"/>
          <w:szCs w:val="22"/>
        </w:rPr>
        <w:t xml:space="preserve">, and Miller, E.K. Representation of Multiple, Independent Categories in the Primate Prefrontal Cortex. </w:t>
      </w:r>
      <w:r>
        <w:rPr>
          <w:rFonts w:ascii="Calibri" w:hAnsi="Calibri" w:cs="Calibri"/>
          <w:i/>
          <w:iCs/>
          <w:sz w:val="22"/>
          <w:szCs w:val="22"/>
        </w:rPr>
        <w:t>Neuron</w:t>
      </w:r>
      <w:r>
        <w:rPr>
          <w:rFonts w:ascii="Calibri" w:hAnsi="Calibri" w:cs="Calibri"/>
          <w:iCs/>
          <w:sz w:val="22"/>
          <w:szCs w:val="22"/>
        </w:rPr>
        <w:t xml:space="preserve"> 66, 796-807, 2010.</w:t>
        <w:tab/>
      </w:r>
    </w:p>
    <w:p>
      <w:pPr>
        <w:ind w:left="450" w:hanging="450"/>
        <w:spacing w:line="276" w:lineRule="auto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Cullen, K.E. and </w:t>
      </w:r>
      <w:r>
        <w:rPr>
          <w:rFonts w:ascii="Calibri" w:hAnsi="Calibri" w:cs="Calibri"/>
          <w:b/>
          <w:iCs/>
          <w:sz w:val="22"/>
          <w:szCs w:val="22"/>
        </w:rPr>
        <w:t>Roy, J.E.</w:t>
      </w:r>
      <w:r>
        <w:rPr>
          <w:rFonts w:ascii="Calibri" w:hAnsi="Calibri" w:cs="Calibri"/>
          <w:iCs/>
          <w:sz w:val="22"/>
          <w:szCs w:val="22"/>
        </w:rPr>
        <w:t xml:space="preserve"> Signal Processing in the Vestibular System during Active versus Passive Head Movements. </w:t>
      </w:r>
      <w:r>
        <w:rPr>
          <w:rFonts w:ascii="Calibri" w:hAnsi="Calibri" w:cs="Calibri"/>
          <w:i/>
          <w:iCs/>
          <w:sz w:val="22"/>
          <w:szCs w:val="22"/>
        </w:rPr>
        <w:t xml:space="preserve">J. Neurophysiol. </w:t>
      </w:r>
      <w:r>
        <w:rPr>
          <w:rFonts w:ascii="Calibri" w:hAnsi="Calibri" w:cs="Calibri"/>
          <w:iCs/>
          <w:sz w:val="22"/>
          <w:szCs w:val="22"/>
        </w:rPr>
        <w:t>91, 1919-1933, 2004.</w:t>
      </w:r>
    </w:p>
    <w:p>
      <w:pPr>
        <w:ind w:left="450" w:hanging="450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Roy, J.E.</w:t>
      </w:r>
      <w:r>
        <w:rPr>
          <w:rFonts w:ascii="Calibri" w:hAnsi="Calibri" w:cs="Calibri"/>
          <w:sz w:val="22"/>
          <w:szCs w:val="22"/>
        </w:rPr>
        <w:t xml:space="preserve"> and Cullen, K.E. Dissociating Self-Generated from Passively Applied Head Motion: Neural Mechanisms in the Vestibular Nuclei. </w:t>
      </w:r>
      <w:r>
        <w:rPr>
          <w:rFonts w:ascii="Calibri" w:hAnsi="Calibri" w:cs="Calibri"/>
          <w:i/>
          <w:sz w:val="22"/>
          <w:szCs w:val="22"/>
        </w:rPr>
        <w:t xml:space="preserve">J. Neurosci. </w:t>
      </w:r>
      <w:r>
        <w:rPr>
          <w:rFonts w:ascii="Calibri" w:hAnsi="Calibri" w:cs="Calibri"/>
          <w:sz w:val="22"/>
          <w:szCs w:val="22"/>
        </w:rPr>
        <w:t>24, 2102-2111, 2004.</w:t>
      </w:r>
    </w:p>
    <w:p>
      <w:pPr>
        <w:ind w:left="450" w:hanging="450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Roy, J.E.</w:t>
      </w:r>
      <w:r>
        <w:rPr>
          <w:rFonts w:ascii="Calibri" w:hAnsi="Calibri" w:cs="Calibri"/>
          <w:sz w:val="22"/>
          <w:szCs w:val="22"/>
        </w:rPr>
        <w:t xml:space="preserve"> and Cullen, K.E. Brain Stem Pursuit Pathways: Dissociating Visual, Vestibular, and Proprioceptive Inputs during Combined Eye-Head Gaze Tracking. </w:t>
      </w:r>
      <w:r>
        <w:rPr>
          <w:rFonts w:ascii="Calibri" w:hAnsi="Calibri" w:cs="Calibri"/>
          <w:i/>
          <w:sz w:val="22"/>
          <w:szCs w:val="22"/>
        </w:rPr>
        <w:t>J.Neurophysiol.</w:t>
      </w:r>
      <w:r>
        <w:rPr>
          <w:rFonts w:ascii="Calibri" w:hAnsi="Calibri" w:cs="Calibri"/>
          <w:sz w:val="22"/>
          <w:szCs w:val="22"/>
        </w:rPr>
        <w:t xml:space="preserve"> 90: 271-290, 2003.</w:t>
      </w:r>
    </w:p>
    <w:p>
      <w:pPr>
        <w:ind w:left="450" w:hanging="450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Roy, J.E.</w:t>
      </w:r>
      <w:r>
        <w:rPr>
          <w:rFonts w:ascii="Calibri" w:hAnsi="Calibri" w:cs="Calibri"/>
          <w:sz w:val="22"/>
          <w:szCs w:val="22"/>
        </w:rPr>
        <w:t xml:space="preserve"> and Cullen, K.E. Vestibuloocular Reflex Signal Modulation During Voluntary versus Passive Head Movements. </w:t>
      </w:r>
      <w:r>
        <w:rPr>
          <w:rFonts w:ascii="Calibri" w:hAnsi="Calibri" w:cs="Calibri"/>
          <w:i/>
          <w:sz w:val="22"/>
          <w:szCs w:val="22"/>
        </w:rPr>
        <w:t xml:space="preserve">J. Neurophysiol. </w:t>
      </w:r>
      <w:r>
        <w:rPr>
          <w:rFonts w:ascii="Calibri" w:hAnsi="Calibri" w:cs="Calibri"/>
          <w:sz w:val="22"/>
          <w:szCs w:val="22"/>
        </w:rPr>
        <w:t>87, 2337-2357, 2002.</w:t>
      </w:r>
    </w:p>
    <w:p>
      <w:pPr>
        <w:ind w:left="450" w:hanging="450"/>
        <w:spacing w:line="276" w:lineRule="auto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Roy, J.E.</w:t>
      </w:r>
      <w:r>
        <w:rPr>
          <w:rFonts w:ascii="Calibri" w:hAnsi="Calibri" w:cs="Calibri"/>
          <w:sz w:val="22"/>
          <w:szCs w:val="22"/>
        </w:rPr>
        <w:t xml:space="preserve"> and Cullen, K.E. Selective Processing of Vestibular Reafference During Self-generated Head Motion.  </w:t>
      </w:r>
      <w:r>
        <w:rPr>
          <w:rFonts w:ascii="Calibri" w:hAnsi="Calibri" w:cs="Calibri"/>
          <w:i/>
          <w:sz w:val="22"/>
          <w:szCs w:val="22"/>
        </w:rPr>
        <w:t xml:space="preserve">J. </w:t>
      </w:r>
      <w:r>
        <w:rPr>
          <w:rFonts w:ascii="Calibri" w:hAnsi="Calibri" w:cs="Calibri"/>
          <w:i/>
          <w:sz w:val="22"/>
          <w:szCs w:val="22"/>
        </w:rPr>
        <w:t>Neurosci</w:t>
      </w:r>
      <w:r>
        <w:rPr>
          <w:rFonts w:ascii="Calibri" w:hAnsi="Calibri" w:cs="Calibri"/>
          <w:i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21, 2131-2142, 2001.</w:t>
      </w:r>
      <w:r>
        <w:rPr>
          <w:rFonts w:ascii="Calibri" w:hAnsi="Calibri" w:cs="Calibri"/>
          <w:i/>
          <w:sz w:val="22"/>
          <w:szCs w:val="22"/>
        </w:rPr>
      </w:r>
    </w:p>
    <w:p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headerReference w:type="first" r:id="rId10"/>
      <w:footerReference w:type="first" r:id="rId11"/>
      <w:type w:val="nextPage"/>
      <w:pgSz w:h="15840" w:w="12240"/>
      <w:pgMar w:left="720" w:top="720" w:right="720" w:bottom="720" w:header="288" w:footer="709"/>
      <w:paperSrc w:first="0" w:other="0" a="0" b="0"/>
      <w:pgNumType w:fmt="decimal"/>
      <w:titlePg/>
      <w:tmGutter w:val="3"/>
      <w:mirrorMargins w:val="0"/>
      <w:tmSection w:h="-2">
        <w:tmHeader w:id="0" w:h="0" edge="288" text="0">
          <w:shd w:val="none"/>
        </w:tmHeader>
        <w:tmFooter w:id="0" w:h="0" edge="720" text="0">
          <w:shd w:val="none"/>
        </w:tmFooter>
        <w:tmHeader w:id="2" w:h="0" edge="288" text="0">
          <w:shd w:val="none"/>
        </w:tmHeader>
        <w:tmFooter w:id="2" w:h="0" edge="709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</w:pPr>
    <w:r>
      <w:rPr>
        <w:noProof/>
      </w:rPr>
      <mc:AlternateContent>
        <mc:Choice Requires="wps">
          <w:drawing>
            <wp:anchor distT="0" distB="0" distL="114300" distR="114300" simplePos="0" relativeHeight="251659265" behindDoc="0" locked="0" layoutInCell="0" hidden="0" allowOverlap="1">
              <wp:simplePos x="0" y="0"/>
              <wp:positionH relativeFrom="page">
                <wp:posOffset>9525</wp:posOffset>
              </wp:positionH>
              <wp:positionV relativeFrom="page">
                <wp:posOffset>9792970</wp:posOffset>
              </wp:positionV>
              <wp:extent cx="7757160" cy="0"/>
              <wp:effectExtent l="9525" t="9525" r="9525" b="9525"/>
              <wp:wrapNone/>
              <wp:docPr id="1025" name="AutoShap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  <a:codePr string="" type="312" text="1"/>
                      <a:extLst>
                        <a:ext uri="sm">
                          <sm:smNativeData xmlns:sm="sm" val="SMDATA_15_HdLmZxMAAAAlAAAADgAAAA0AAAAAkAAAAEgAAACQAAAASAAAAAAAAAAAAAAAAAAAAAEAAABQAAAAAAAAAAAAAAA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Bww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ogAAAAAAAAAAAAAAAAAAAAAAAA8AAAAAAAAAAAAAAD48AAC4LwAAAAAAAAAAAAAPAAAAPjwAACgAAAAIAAAAAQAAAAEAAAAwAAAAFAAAAAAAAAAAAP//AAABAAAA//8AAAEA"/>
                        </a:ext>
                      </a:extLst>
                    </wps:cNvCnPr>
                    <wps:spPr>
                      <a:xfrm>
                        <a:off x="0" y="0"/>
                        <a:ext cx="7757160" cy="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rgbClr val="0070C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8" o:spid="_x0000_s3073" type="#_x0000_t34" style="position:absolute;margin-left:0.75pt;margin-top:771.10pt;mso-position-horizontal-relative:page;mso-position-vertical-relative:page;width:610.80pt;height:0.00pt;z-index:251659265;mso-wrap-distance-left:9.00pt;mso-wrap-distance-top:0.00pt;mso-wrap-distance-right:9.00pt;mso-wrap-distance-bottom:0.00pt;mso-wrap-style:square" o:connectortype="elbow" adj="10800,16200,16200" strokeweight="0.75pt" strokecolor="#0070c0" v:ext="SMDATA_15_HdLmZxMAAAAlAAAADgAAAA0AAAAAkAAAAEgAAACQAAAASAAAAAAAAAAAAAAAAAAAAAEAAABQAAAAAAAAAAAAAAA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Bww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ogAAAAAAAAAAAAAAAAAAAAAAAA8AAAAAAAAAAAAAAD48AAC4LwAAAAAAAAAAAAAPAAAAPjwAACgAAAAIAAAAAQAAAAEAAAAwAAAAFAAAAAAAAAAAAP//AAABAAAA//8AAAEA">
              <w10:wrap type="none" anchorx="page" anchory="page"/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ind w:left="7200" w:firstLine="720"/>
      <w:rPr>
        <w:rFonts w:ascii="Calibri" w:hAnsi="Calibri" w:cs="Calibri"/>
        <w:b/>
        <w:sz w:val="28"/>
        <w:szCs w:val="28"/>
      </w:rPr>
    </w:pPr>
    <w:r>
      <w:rPr>
        <w:rFonts w:ascii="Calibri" w:hAnsi="Calibri" w:cs="Calibri"/>
        <w:sz w:val="22"/>
        <w:szCs w:val="22"/>
      </w:rPr>
      <w:t>jefferson.roy@gmail.com</w:t>
    </w:r>
    <w:r>
      <w:rPr>
        <w:rFonts w:ascii="Calibri" w:hAnsi="Calibri" w:cs="Calibri"/>
        <w:b/>
        <w:sz w:val="28"/>
        <w:szCs w:val="28"/>
      </w:rPr>
    </w:r>
  </w:p>
  <w:p>
    <w:pPr>
      <w:pStyle w:val="para3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·"/>
      <w:lvlJc w:val="left"/>
      <w:pPr>
        <w:ind w:left="1440" w:hanging="0"/>
      </w:pPr>
      <w:rPr>
        <w:rFonts w:ascii="Symbol" w:hAnsi="Symbol" w:cs="Symbol"/>
        <w:sz w:val="22"/>
        <w:szCs w:val="22"/>
      </w:rPr>
    </w:lvl>
    <w:lvl w:ilvl="1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  <w:lvl w:ilvl="6">
      <w:numFmt w:val="bullet"/>
      <w:suff w:val="tab"/>
      <w:lvlText w:val="·"/>
      <w:lvlJc w:val="left"/>
      <w:pPr>
        <w:ind w:left="3600" w:hanging="0"/>
      </w:pPr>
      <w:rPr>
        <w:rFonts w:ascii="Symbol" w:hAnsi="Symbol" w:cs="Symbol"/>
      </w:rPr>
    </w:lvl>
    <w:lvl w:ilvl="7">
      <w:numFmt w:val="bullet"/>
      <w:suff w:val="tab"/>
      <w:lvlText w:val="◦"/>
      <w:lvlJc w:val="left"/>
      <w:pPr>
        <w:ind w:left="396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4320" w:hanging="0"/>
      </w:pPr>
      <w:rPr>
        <w:rFonts w:ascii="OpenSymbol" w:hAnsi="OpenSymbol" w:cs="OpenSymbol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·"/>
      <w:lvlJc w:val="left"/>
      <w:pPr>
        <w:ind w:left="-144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576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296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016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736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456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176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4896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616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o"/>
      <w:lvlJc w:val="left"/>
      <w:pPr>
        <w:ind w:left="0" w:hanging="0"/>
      </w:pPr>
      <w:rPr>
        <w:rFonts w:ascii="Courier New" w:hAnsi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224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944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664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384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104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824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544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264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o"/>
      <w:lvlJc w:val="left"/>
      <w:pPr>
        <w:ind w:left="0" w:hanging="0"/>
      </w:pPr>
      <w:rPr>
        <w:rFonts w:ascii="Courier New" w:hAnsi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o"/>
      <w:lvlJc w:val="left"/>
      <w:pPr>
        <w:ind w:left="0" w:hanging="0"/>
      </w:pPr>
      <w:rPr>
        <w:rFonts w:ascii="Courier New" w:hAnsi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·"/>
      <w:lvlJc w:val="left"/>
      <w:pPr>
        <w:ind w:left="216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936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656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376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096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816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536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256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976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Numbered list 7"/>
    <w:lvl w:ilvl="0">
      <w:numFmt w:val="bullet"/>
      <w:suff w:val="tab"/>
      <w:lvlText w:val="o"/>
      <w:lvlJc w:val="left"/>
      <w:pPr>
        <w:ind w:left="0" w:hanging="0"/>
      </w:pPr>
      <w:rPr>
        <w:rFonts w:ascii="Courier New" w:hAnsi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Numbered list 8"/>
    <w:lvl w:ilvl="0">
      <w:numFmt w:val="bullet"/>
      <w:suff w:val="tab"/>
      <w:lvlText w:val="o"/>
      <w:lvlJc w:val="left"/>
      <w:pPr>
        <w:ind w:left="0" w:hanging="0"/>
      </w:pPr>
      <w:rPr>
        <w:rFonts w:ascii="Courier New" w:hAnsi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Numbered list 9"/>
    <w:lvl w:ilvl="0">
      <w:numFmt w:val="bullet"/>
      <w:suff w:val="tab"/>
      <w:lvlText w:val="o"/>
      <w:lvlJc w:val="left"/>
      <w:pPr>
        <w:ind w:left="360" w:hanging="0"/>
      </w:pPr>
      <w:rPr>
        <w:rFonts w:ascii="Courier New" w:hAnsi="Courier New" w:cs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0">
    <w:multiLevelType w:val="hybridMultilevel"/>
    <w:name w:val="Numbered list 10"/>
    <w:lvl w:ilvl="0">
      <w:numFmt w:val="bullet"/>
      <w:suff w:val="tab"/>
      <w:lvlText w:val="o"/>
      <w:lvlJc w:val="left"/>
      <w:pPr>
        <w:ind w:left="360" w:hanging="0"/>
      </w:pPr>
      <w:rPr>
        <w:rFonts w:ascii="Courier New" w:hAnsi="Courier New" w:cs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Numbered list 11"/>
    <w:lvl w:ilvl="0">
      <w:numFmt w:val="bullet"/>
      <w:suff w:val="tab"/>
      <w:lvlText w:val="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12">
    <w:multiLevelType w:val="hybridMultilevel"/>
    <w:name w:val="Numbered list 12"/>
    <w:lvl w:ilvl="0">
      <w:numFmt w:val="bullet"/>
      <w:suff w:val="tab"/>
      <w:lvlText w:val="°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Numbered list 13"/>
    <w:lvl w:ilvl="0">
      <w:numFmt w:val="bullet"/>
      <w:suff w:val="tab"/>
      <w:lvlText w:val="o"/>
      <w:lvlJc w:val="left"/>
      <w:pPr>
        <w:ind w:left="360" w:hanging="0"/>
      </w:pPr>
      <w:rPr>
        <w:rFonts w:ascii="Courier New" w:hAnsi="Courier New" w:cs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4">
    <w:multiLevelType w:val="hybridMultilevel"/>
    <w:name w:val="Numbered list 14"/>
    <w:lvl w:ilvl="0">
      <w:numFmt w:val="bullet"/>
      <w:suff w:val="tab"/>
      <w:lvlText w:val="o"/>
      <w:lvlJc w:val="left"/>
      <w:pPr>
        <w:ind w:left="0" w:hanging="0"/>
      </w:pPr>
      <w:rPr>
        <w:rFonts w:ascii="Courier New" w:hAnsi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5">
    <w:multiLevelType w:val="hybridMultilevel"/>
    <w:name w:val="Numbered list 15"/>
    <w:lvl w:ilvl="0">
      <w:numFmt w:val="bullet"/>
      <w:suff w:val="tab"/>
      <w:lvlText w:val="o"/>
      <w:lvlJc w:val="left"/>
      <w:pPr>
        <w:ind w:left="0" w:hanging="0"/>
      </w:pPr>
      <w:rPr>
        <w:rFonts w:ascii="Courier New" w:hAnsi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6">
    <w:multiLevelType w:val="hybridMultilevel"/>
    <w:name w:val="Numbered list 16"/>
    <w:lvl w:ilvl="0">
      <w:numFmt w:val="bullet"/>
      <w:suff w:val="tab"/>
      <w:lvlText w:val="·"/>
      <w:lvlJc w:val="left"/>
      <w:pPr>
        <w:ind w:left="10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abstractNum w:abstractNumId="17">
    <w:multiLevelType w:val="hybridMultilevel"/>
    <w:name w:val="Numbered list 17"/>
    <w:lvl w:ilvl="0">
      <w:numFmt w:val="bullet"/>
      <w:suff w:val="tab"/>
      <w:lvlText w:val="o"/>
      <w:lvlJc w:val="left"/>
      <w:pPr>
        <w:ind w:left="0" w:hanging="0"/>
      </w:pPr>
      <w:rPr>
        <w:rFonts w:ascii="Courier New" w:hAnsi="Courier New"/>
        <w:sz w:val="16"/>
        <w:szCs w:val="16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5121"/>
    <o:shapelayout v:ext="edit">
      <o:rules v:ext="edit">
        <o:r id="V:Rule2" type="connector" idref="#AutoShape 28"/>
      </o:rules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7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43180317" w:val="1224" w:fileVer="342" w:fileVer64="64" w:fileVerOS="3"/>
  <w:guidesAndGrid showGuides="1" lockGuides="0" snapToGuides="1" snapToPageMargins="0" snapToOtherObjects="1" tolerance="8" gridDistanceHorizontal="283" gridDistanceVertical="283" showGrid="0" snapToGrid="0"/>
  <w:pdfExportOpt pagesRangeIndex="1" pagesSelectionIndex="0" qualityIndex="2" embedFonts="2" pdfaType="0" useJpegs="0" useSubsetFonts="1" useAlpha="1" relativeLinks="0" useInteractiveForms="0" taggedPdf="1" pane="0" zoom="0" zoomScale="100" layout="0" includeDoc="0" viewFlags="0" openViewer="1" jpegQuality="90" flags="252" tocGen="0" tocLevels="9" exportComments="0" exportChanges="0" dpi="2" resample="1" name="/mnt/fastData/github/jeffersonroy.github.io/assets/resume.pdf" map="1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 w:customStyle="1">
    <w:name w:val="Address 1"/>
    <w:qFormat/>
    <w:basedOn w:val="para0"/>
    <w:pPr>
      <w:spacing w:line="200" w:lineRule="atLeast"/>
    </w:pPr>
    <w:rPr>
      <w:sz w:val="16"/>
    </w:rPr>
  </w:style>
  <w:style w:type="paragraph" w:styleId="para3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4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char2" w:customStyle="1">
    <w:name w:val="Footer Char"/>
    <w:basedOn w:val="char0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char3">
    <w:name w:val="Hyperlink"/>
    <w:basedOn w:val="char0"/>
    <w:rPr>
      <w:color w:val="0563c1"/>
      <w:u w:color="auto" w:val="single"/>
    </w:rPr>
  </w:style>
  <w:style w:type="character" w:styleId="char4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 w:customStyle="1">
    <w:name w:val="Address 1"/>
    <w:qFormat/>
    <w:basedOn w:val="para0"/>
    <w:pPr>
      <w:spacing w:line="200" w:lineRule="atLeast"/>
    </w:pPr>
    <w:rPr>
      <w:sz w:val="16"/>
    </w:rPr>
  </w:style>
  <w:style w:type="paragraph" w:styleId="para3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4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char2" w:customStyle="1">
    <w:name w:val="Footer Char"/>
    <w:basedOn w:val="char0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char3">
    <w:name w:val="Hyperlink"/>
    <w:basedOn w:val="char0"/>
    <w:rPr>
      <w:color w:val="0563c1"/>
      <w:u w:color="auto" w:val="single"/>
    </w:rPr>
  </w:style>
  <w:style w:type="character" w:styleId="char4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NX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JRoy</dc:creator>
  <cp:keywords/>
  <dc:description/>
  <cp:lastModifiedBy>J Roy</cp:lastModifiedBy>
  <cp:revision>6</cp:revision>
  <cp:lastPrinted>2025-01-31T20:01:10Z</cp:lastPrinted>
  <dcterms:created xsi:type="dcterms:W3CDTF">2024-10-25T19:18:00Z</dcterms:created>
  <dcterms:modified xsi:type="dcterms:W3CDTF">2025-03-28T16:45:17Z</dcterms:modified>
</cp:coreProperties>
</file>