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XCXZXZC</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XCXZXZC</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el señor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cvxcv</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cvc</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xvcv</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xvxv</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xvxvxv</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hjghjghj</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presupuestarias.ghjghj</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59.92277992278px;height:80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