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XCXZXZC</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XCXZXZC</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cxxcx</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cxcx</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cxc</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cxc</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xfgsdfg</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dfgdf</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gdfgdf</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gdfgd</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dfgdfg</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cxc</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dfgdfg</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cvxcv</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xcvxcv</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xcvxcv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xvxv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0996414124</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madeline.munoz@sesep.net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cxc</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cxxcx</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cxcx</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COOP. NUEVA JERUSALEN 2 M2842 SL 21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0996414124</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xcvxcv</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cxc</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gjghjhg</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cxc</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COOP. NUEVA JERUSALEN 2 M2842 SL 21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0996414124</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cvxcv</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xcxzxzc</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cxxcx</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xcxzxzc</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pict>
        <v:shape type="#_x0000_t75" style="width:80px;height:58.823529411765px" stroked="f" filled="f">
          <v:imagedata r:id="rId2" o:title=""/>
        </v:shape>
      </w:pict>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