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PROYECTO DE INVESTIGACIÓN 2025</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Proyecto de Investigación 2025</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Proyecto de Investigación 2025</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