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FUNDACIÓN D. GARY YOUNG - YOUNG LIVING PRUEBA 31</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PROYECTO ING TRUJILLO</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FUNDACIÓN D. GARY YOUNG - YOUNG LIVING PRUEBA 31</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la señora </w:t>
      </w:r>
      <w:r w:rsidR="00D708C2" w:rsidRPr="001114FA">
        <w:rPr>
          <w:rFonts w:ascii="Cambria" w:hAnsi="Cambria"/>
          <w:color w:val="FF0000"/>
          <w:sz w:val="23"/>
          <w:szCs w:val="23"/>
          <w:highlight w:val="yellow"/>
        </w:rPr>
        <w:t>Ollague Alarcón Andrea Cristina PRUEBA 31</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DOCENTE</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${APELATIVO_CONTRAPARTE}</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${APELATIVO_CONTRAPARTE}</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DSSSSSSSSSSSSSSSSSSS</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PROYECTO ING TRUJILLO</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SVDVSD</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VSDVSD</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VSDVSDVSDV</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a) GRECO OBJETIVO 1 31</w:t>
        <w:br/>
        <w:t/>
        <w:br/>
        <w:t>b) GRECO OBJETIVO 2 31</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${APELATIVO_CONTRAPARTE}</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DFVDFVDFVDFV</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ING TRUJILLO 31 07</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Decano</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INGENIERA INDISUTRIAL</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Chongon, Av. Principal Km24 Vía A La Costa PRUEBA 3</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0979890007</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madeline.munozv@ug.edu.ec3107</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${APELATIVO_CONTRAPARTE}</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Ollague Alarcón Andrea Cristina PRUEBA 31</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DOCENTE</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Chongon, Av. Principal Km24 Vía A La Costa PRUEBA 31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0989022431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INGENIERA INDISUTRIAL</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Vicerrectorado Académico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${APELATIVO_CONTRAPARTE}</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CINCO AÑOS</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${APELATIVO_CONTRAPARTE}</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Chongon, Av. Principal Km24 Vía A La Costa PRUEBA 31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0989022431</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https://www.youtube.com/user/Youtube</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 P 31</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PROYECTO ING TRUJILLO</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Fundación D. Gary Young - Young Living PRUEBA 31</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Ollague Alarcón Andrea Cristina PRUEBA 31</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Fundación D. Gary Young - Young Living PRUEBA 31</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