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27" w:rsidRDefault="00101B27" w:rsidP="005A0170">
      <w:pPr>
        <w:pStyle w:val="Sinespaciado"/>
        <w:spacing w:before="20" w:after="20" w:line="276" w:lineRule="auto"/>
        <w:jc w:val="both"/>
        <w:rPr>
          <w:rFonts w:ascii="Cambria" w:hAnsi="Cambria"/>
          <w:b/>
          <w:sz w:val="23"/>
          <w:szCs w:val="23"/>
        </w:rPr>
      </w:pPr>
    </w:p>
    <w:p w:rsidR="00A63FDF" w:rsidRPr="00BE53BE" w:rsidRDefault="009D1B75"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w:t>
      </w:r>
      <w:r w:rsidR="0076502C"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${RAZON_SOCIAL_MAYUS}</w:t>
      </w:r>
      <w:r w:rsidR="00BA7301" w:rsidRPr="00CC1FAB">
        <w:rPr>
          <w:rFonts w:ascii="Cambria" w:hAnsi="Cambria"/>
          <w:b/>
          <w:color w:val="FF0000"/>
          <w:sz w:val="23"/>
          <w:szCs w:val="23"/>
          <w:highlight w:val="yellow"/>
        </w:rPr>
        <w:t>.</w:t>
      </w:r>
    </w:p>
    <w:p w:rsidR="007B4EDF" w:rsidRPr="00BE53BE" w:rsidRDefault="007B4EDF" w:rsidP="005A0170">
      <w:pPr>
        <w:pStyle w:val="Sinespaciado"/>
        <w:spacing w:before="20" w:after="20" w:line="276" w:lineRule="auto"/>
        <w:jc w:val="both"/>
        <w:rPr>
          <w:rFonts w:ascii="Cambria" w:hAnsi="Cambria"/>
          <w:sz w:val="23"/>
          <w:szCs w:val="23"/>
        </w:rPr>
      </w:pPr>
    </w:p>
    <w:p w:rsidR="001778AC" w:rsidRPr="00BE53BE" w:rsidRDefault="001778AC" w:rsidP="005A0170">
      <w:pPr>
        <w:pStyle w:val="Sinespaciado"/>
        <w:spacing w:before="20" w:after="20" w:line="276" w:lineRule="auto"/>
        <w:jc w:val="both"/>
        <w:rPr>
          <w:rFonts w:ascii="Cambria" w:hAnsi="Cambria"/>
          <w:sz w:val="23"/>
          <w:szCs w:val="23"/>
        </w:rPr>
      </w:pPr>
    </w:p>
    <w:p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rsidR="00DD6587" w:rsidRPr="00BE53BE" w:rsidRDefault="00DD6587" w:rsidP="005A0170">
      <w:pPr>
        <w:pStyle w:val="Sinespaciado"/>
        <w:spacing w:before="20" w:after="20" w:line="276" w:lineRule="auto"/>
        <w:jc w:val="both"/>
        <w:rPr>
          <w:rFonts w:ascii="Cambria" w:hAnsi="Cambria"/>
          <w:b/>
          <w:sz w:val="23"/>
          <w:szCs w:val="23"/>
        </w:rPr>
      </w:pPr>
    </w:p>
    <w:p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${RAZON_SOCIAL_MAYUS}</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el señor Betzabeth Madeline Muñoz Villegas,</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JP,</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“PRUEBA”.</w:t>
      </w:r>
      <w:r w:rsidRPr="008B51F8">
        <w:rPr>
          <w:rFonts w:ascii="Cambria" w:hAnsi="Cambria"/>
          <w:color w:val="FF0000"/>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highlight w:val="yellow"/>
        </w:rPr>
      </w:pPr>
    </w:p>
    <w:p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rsidR="007B4EDF" w:rsidRPr="00BE53BE" w:rsidRDefault="007B4EDF" w:rsidP="005A0170">
      <w:pPr>
        <w:pStyle w:val="Sinespaciado"/>
        <w:spacing w:before="20" w:after="20" w:line="276" w:lineRule="auto"/>
        <w:jc w:val="both"/>
        <w:rPr>
          <w:rFonts w:ascii="Cambria" w:hAnsi="Cambria"/>
          <w:sz w:val="23"/>
          <w:szCs w:val="23"/>
        </w:rPr>
      </w:pPr>
    </w:p>
    <w:p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rsidR="007B4EDF" w:rsidRPr="00BE53BE" w:rsidRDefault="007B4EDF" w:rsidP="005A0170">
      <w:pPr>
        <w:pStyle w:val="Sinespaciado"/>
        <w:spacing w:before="20" w:after="20" w:line="276" w:lineRule="auto"/>
        <w:ind w:left="720"/>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rsidR="007B4EDF" w:rsidRPr="00BE53BE" w:rsidRDefault="007B4EDF" w:rsidP="005A0170">
      <w:pPr>
        <w:pStyle w:val="Prrafodelista"/>
        <w:spacing w:before="20" w:after="20" w:line="276" w:lineRule="auto"/>
        <w:rPr>
          <w:rFonts w:ascii="Cambria" w:hAnsi="Cambria"/>
          <w:bCs/>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BE53BE">
        <w:rPr>
          <w:rFonts w:ascii="Cambria" w:hAnsi="Cambria"/>
          <w:spacing w:val="1"/>
          <w:sz w:val="23"/>
          <w:szCs w:val="23"/>
        </w:rPr>
        <w:t>sus dominios científicos, tecnológicos y humanísticos; comprometida</w:t>
      </w:r>
      <w:proofErr w:type="gramEnd"/>
      <w:r w:rsidRPr="00BE53BE">
        <w:rPr>
          <w:rFonts w:ascii="Cambria" w:hAnsi="Cambria"/>
          <w:spacing w:val="1"/>
          <w:sz w:val="23"/>
          <w:szCs w:val="23"/>
        </w:rPr>
        <w:t xml:space="preserve"> con la democracia cognitiva, el diálogo de saberes, el desarrollo sustentable y la innovación social.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w:t>
      </w:r>
      <w:proofErr w:type="spellStart"/>
      <w:r w:rsidRPr="00BE53BE">
        <w:rPr>
          <w:rFonts w:ascii="Cambria" w:hAnsi="Cambria"/>
          <w:spacing w:val="1"/>
          <w:sz w:val="23"/>
          <w:szCs w:val="23"/>
        </w:rPr>
        <w:t>semi</w:t>
      </w:r>
      <w:proofErr w:type="spellEnd"/>
      <w:r w:rsidRPr="00BE53BE">
        <w:rPr>
          <w:rFonts w:ascii="Cambria" w:hAnsi="Cambria"/>
          <w:spacing w:val="1"/>
          <w:sz w:val="23"/>
          <w:szCs w:val="23"/>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rsidR="00D5548C" w:rsidRPr="00EA7465" w:rsidRDefault="00D5548C" w:rsidP="00D5548C">
      <w:pPr>
        <w:rPr>
          <w:rFonts w:ascii="Cambria" w:hAnsi="Cambria"/>
          <w:sz w:val="23"/>
          <w:szCs w:val="23"/>
        </w:rPr>
      </w:pPr>
    </w:p>
    <w:p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PRUEBA</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DSADFADFDSFFGDF.</w:t>
      </w:r>
    </w:p>
    <w:p w:rsidR="00A21509" w:rsidRPr="00BE53BE" w:rsidRDefault="00A21509" w:rsidP="005A0170">
      <w:pPr>
        <w:pStyle w:val="Sinespaciado"/>
        <w:spacing w:before="20" w:after="20" w:line="276" w:lineRule="auto"/>
        <w:jc w:val="both"/>
        <w:rPr>
          <w:rFonts w:ascii="Cambria" w:hAnsi="Cambria"/>
          <w:sz w:val="23"/>
          <w:szCs w:val="23"/>
        </w:rPr>
      </w:pPr>
    </w:p>
    <w:p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rsidR="007B4EDF" w:rsidRPr="00BE53BE" w:rsidRDefault="007B4EDF" w:rsidP="005A0170">
      <w:pPr>
        <w:pStyle w:val="Sinespaciado"/>
        <w:spacing w:before="20" w:after="20" w:line="276" w:lineRule="auto"/>
        <w:jc w:val="both"/>
        <w:rPr>
          <w:rFonts w:ascii="Cambria" w:hAnsi="Cambria"/>
          <w:sz w:val="23"/>
          <w:szCs w:val="23"/>
        </w:rPr>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rsidR="00C939EE" w:rsidRPr="00BE53BE" w:rsidRDefault="00C939EE" w:rsidP="005A0170">
      <w:pPr>
        <w:pStyle w:val="Sinespaciado"/>
        <w:spacing w:before="20" w:after="20" w:line="276" w:lineRule="auto"/>
        <w:jc w:val="both"/>
        <w:rPr>
          <w:rFonts w:ascii="Cambria" w:hAnsi="Cambria"/>
          <w:sz w:val="23"/>
          <w:szCs w:val="23"/>
          <w:highlight w:val="yellow"/>
        </w:rPr>
      </w:pPr>
    </w:p>
    <w:p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rsidR="00991865" w:rsidRPr="002C0C40" w:rsidRDefault="00991865" w:rsidP="005A0170">
      <w:pPr>
        <w:pStyle w:val="Sinespaciado"/>
        <w:spacing w:before="20" w:after="20" w:line="276" w:lineRule="auto"/>
        <w:jc w:val="both"/>
        <w:rPr>
          <w:rFonts w:ascii="Cambria" w:hAnsi="Cambria"/>
          <w:bCs/>
          <w:sz w:val="23"/>
          <w:szCs w:val="23"/>
        </w:rPr>
      </w:pPr>
    </w:p>
    <w:p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rsidR="00991865" w:rsidRPr="002C0C40" w:rsidRDefault="00991865" w:rsidP="005A0170">
      <w:pPr>
        <w:pStyle w:val="Sinespaciado"/>
        <w:spacing w:before="20" w:after="20" w:line="276" w:lineRule="auto"/>
        <w:jc w:val="both"/>
        <w:rPr>
          <w:rFonts w:ascii="Cambria" w:hAnsi="Cambria"/>
          <w:sz w:val="23"/>
          <w:szCs w:val="23"/>
        </w:rPr>
      </w:pPr>
    </w:p>
    <w:p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rsidR="00991865" w:rsidRPr="002C0C40" w:rsidRDefault="00991865" w:rsidP="005A0170">
      <w:pPr>
        <w:pStyle w:val="Sinespaciado"/>
        <w:spacing w:before="20" w:after="20" w:line="276" w:lineRule="auto"/>
        <w:jc w:val="both"/>
        <w:rPr>
          <w:rFonts w:ascii="Cambria" w:hAnsi="Cambria"/>
          <w:sz w:val="23"/>
          <w:szCs w:val="23"/>
        </w:rPr>
      </w:pP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rsidR="00C939EE" w:rsidRPr="00BE53BE" w:rsidRDefault="00C939EE" w:rsidP="005A0170">
      <w:pPr>
        <w:pStyle w:val="Sinespaciado"/>
        <w:spacing w:before="20" w:after="20" w:line="276" w:lineRule="auto"/>
        <w:jc w:val="both"/>
        <w:rPr>
          <w:rFonts w:ascii="Cambria" w:hAnsi="Cambria"/>
          <w:sz w:val="23"/>
          <w:szCs w:val="23"/>
        </w:rPr>
      </w:pPr>
    </w:p>
    <w:p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rsidR="00511344" w:rsidRPr="00BE53BE" w:rsidRDefault="00511344" w:rsidP="005A0170">
      <w:pPr>
        <w:pStyle w:val="Sinespaciado"/>
        <w:spacing w:before="20" w:after="20" w:line="276" w:lineRule="auto"/>
        <w:jc w:val="both"/>
        <w:rPr>
          <w:rFonts w:ascii="Cambria" w:hAnsi="Cambria"/>
          <w:sz w:val="23"/>
          <w:szCs w:val="23"/>
        </w:rPr>
      </w:pPr>
    </w:p>
    <w:p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rsidR="00D53D4D" w:rsidRPr="00D53D4D" w:rsidRDefault="00D53D4D" w:rsidP="00D53D4D">
      <w:pPr>
        <w:pStyle w:val="Sinespaciado"/>
        <w:spacing w:before="20" w:after="20" w:line="276" w:lineRule="auto"/>
        <w:jc w:val="both"/>
        <w:rPr>
          <w:rFonts w:ascii="Cambria" w:hAnsi="Cambria"/>
          <w:sz w:val="23"/>
          <w:szCs w:val="23"/>
        </w:rPr>
      </w:pPr>
    </w:p>
    <w:p w:rsidR="00B14093" w:rsidRPr="00471E3E" w:rsidRDefault="00B14093" w:rsidP="00B14093">
      <w:pPr>
        <w:pStyle w:val="NumeracionAlfabetica"/>
      </w:pPr>
      <w:r w:rsidRPr="00471E3E">
        <w:rPr>
          <w:rStyle w:val="NumeracionAlfabeticaCar"/>
        </w:rPr>
        <w:t>GFDFG</w:t>
      </w:r>
    </w:p>
    <w:p w:rsidR="00F70504" w:rsidRPr="00BE53BE" w:rsidRDefault="00F70504" w:rsidP="005A0170">
      <w:pPr>
        <w:pStyle w:val="Sinespaciado"/>
        <w:spacing w:before="20" w:after="20" w:line="276" w:lineRule="auto"/>
        <w:jc w:val="both"/>
        <w:rPr>
          <w:rFonts w:ascii="Cambria" w:hAnsi="Cambria"/>
          <w:sz w:val="23"/>
          <w:szCs w:val="23"/>
        </w:rPr>
      </w:pPr>
    </w:p>
    <w:p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PRUEBA</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rsidR="00F70504" w:rsidRPr="00BE53BE" w:rsidRDefault="00F70504" w:rsidP="00D53D4D">
      <w:pPr>
        <w:pStyle w:val="Sinespaciado"/>
        <w:spacing w:before="20" w:after="20" w:line="276" w:lineRule="auto"/>
        <w:ind w:left="-11"/>
        <w:jc w:val="both"/>
        <w:rPr>
          <w:rFonts w:ascii="Cambria" w:hAnsi="Cambria"/>
          <w:sz w:val="23"/>
          <w:szCs w:val="23"/>
        </w:rPr>
      </w:pPr>
    </w:p>
    <w:p w:rsidR="00B14093" w:rsidRDefault="00B14093" w:rsidP="00B14093">
      <w:pPr>
        <w:pStyle w:val="NumeracionAlfabetica"/>
        <w:rPr>
          <w:rStyle w:val="NumeracionAlfabeticaCar"/>
        </w:rPr>
      </w:pPr>
      <w:r w:rsidRPr="00471E3E">
        <w:rPr>
          <w:rStyle w:val="NumeracionAlfabeticaCar"/>
        </w:rPr>
        <w:t>DFGDFGD</w:t>
      </w:r>
    </w:p>
    <w:p w:rsidR="00AC1CF5" w:rsidRPr="00BE53BE" w:rsidRDefault="00AC1CF5" w:rsidP="00B14093">
      <w:pPr>
        <w:pStyle w:val="NumeracionAlfabetica"/>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rsidR="00F70504" w:rsidRPr="00BE53BE" w:rsidRDefault="00F70504" w:rsidP="005A0170">
      <w:pPr>
        <w:pStyle w:val="Sinespaciado"/>
        <w:spacing w:before="20" w:after="20" w:line="276" w:lineRule="auto"/>
        <w:jc w:val="both"/>
        <w:rPr>
          <w:rFonts w:ascii="Cambria" w:hAnsi="Cambria"/>
          <w:sz w:val="23"/>
          <w:szCs w:val="23"/>
        </w:rPr>
      </w:pPr>
    </w:p>
    <w:p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rsidR="00F70504" w:rsidRPr="00BE53BE" w:rsidRDefault="00F70504" w:rsidP="005A0170">
      <w:pPr>
        <w:pStyle w:val="Sinespaciado"/>
        <w:spacing w:before="20" w:after="20" w:line="276" w:lineRule="auto"/>
        <w:jc w:val="both"/>
        <w:rPr>
          <w:rFonts w:ascii="Cambria" w:hAnsi="Cambria"/>
          <w:sz w:val="23"/>
          <w:szCs w:val="23"/>
        </w:rPr>
      </w:pPr>
    </w:p>
    <w:p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GDFGDFGDFG</w:t>
      </w:r>
      <w:r w:rsidR="00FA461C" w:rsidRPr="007C339D">
        <w:rPr>
          <w:rFonts w:ascii="Cambria" w:hAnsi="Cambria"/>
          <w:color w:val="000000" w:themeColor="text1"/>
          <w:sz w:val="23"/>
          <w:szCs w:val="23"/>
        </w:rPr>
        <w:t xml:space="preserve"> </w:t>
      </w:r>
    </w:p>
    <w:p w:rsidR="0057557D" w:rsidRPr="0057557D" w:rsidRDefault="0057557D" w:rsidP="005A0170">
      <w:pPr>
        <w:pStyle w:val="Sinespaciado"/>
        <w:spacing w:before="20" w:after="20" w:line="276" w:lineRule="auto"/>
        <w:jc w:val="both"/>
        <w:rPr>
          <w:rFonts w:ascii="Cambria" w:hAnsi="Cambria"/>
          <w:color w:val="FF0000"/>
          <w:sz w:val="23"/>
          <w:szCs w:val="23"/>
        </w:rPr>
      </w:pPr>
    </w:p>
    <w:p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PRUENA</w:t>
      </w:r>
    </w:p>
    <w:p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PRUEBA</w:t>
      </w: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COOP. NUEVA JERUSALEN 2 M2842 SL 21</w:t>
      </w:r>
    </w:p>
    <w:p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0996414124</w:t>
      </w:r>
    </w:p>
    <w:p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madeline.munozv@ug.edu.ec</w:t>
      </w:r>
    </w:p>
    <w:p w:rsidR="008678F3" w:rsidRPr="00274F87" w:rsidRDefault="008678F3" w:rsidP="005A0170">
      <w:pPr>
        <w:pStyle w:val="Sinespaciado"/>
        <w:spacing w:before="20" w:after="20" w:line="276" w:lineRule="auto"/>
        <w:jc w:val="both"/>
        <w:rPr>
          <w:rFonts w:ascii="Cambria" w:hAnsi="Cambria"/>
          <w:sz w:val="23"/>
          <w:szCs w:val="23"/>
          <w:u w:val="single"/>
        </w:rPr>
      </w:pP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PRUEBA</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Betzabeth Madeline Muñoz Villegas</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JP</w:t>
      </w:r>
    </w:p>
    <w:p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COOP. NUEVA JERUSALEN 2 M2842 SL 21</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0996414124</w:t>
      </w:r>
    </w:p>
    <w:p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madeline.munozv@ug.edu.ec</w:t>
      </w:r>
    </w:p>
    <w:p w:rsidR="00274F87" w:rsidRDefault="00274F87" w:rsidP="005A0170">
      <w:pPr>
        <w:pStyle w:val="Sinespaciado"/>
        <w:spacing w:before="20" w:after="20" w:line="276" w:lineRule="auto"/>
        <w:jc w:val="both"/>
        <w:rPr>
          <w:rFonts w:ascii="Cambria" w:hAnsi="Cambria"/>
          <w:sz w:val="23"/>
          <w:szCs w:val="23"/>
        </w:rPr>
      </w:pPr>
    </w:p>
    <w:p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rsidR="005833B7" w:rsidRPr="00BE53BE" w:rsidRDefault="005833B7" w:rsidP="005A0170">
      <w:pPr>
        <w:pStyle w:val="Sinespaciado"/>
        <w:spacing w:before="20" w:after="20" w:line="276" w:lineRule="auto"/>
        <w:jc w:val="both"/>
        <w:rPr>
          <w:rFonts w:ascii="Cambria" w:hAnsi="Cambria"/>
          <w:sz w:val="23"/>
          <w:szCs w:val="23"/>
        </w:rPr>
      </w:pPr>
    </w:p>
    <w:p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rsidR="00306A54" w:rsidRPr="00BE53BE" w:rsidRDefault="00306A54" w:rsidP="005A0170">
      <w:pPr>
        <w:pStyle w:val="Sinespaciado"/>
        <w:spacing w:before="20" w:after="20" w:line="276" w:lineRule="auto"/>
        <w:jc w:val="both"/>
        <w:rPr>
          <w:rFonts w:ascii="Cambria" w:hAnsi="Cambria"/>
          <w:sz w:val="23"/>
          <w:szCs w:val="23"/>
        </w:rPr>
      </w:pPr>
    </w:p>
    <w:p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SDFSDF</w:t>
      </w:r>
      <w:r w:rsidRPr="007C339D">
        <w:rPr>
          <w:rFonts w:ascii="Cambria" w:hAnsi="Cambria"/>
          <w:color w:val="000000" w:themeColor="text1"/>
          <w:sz w:val="23"/>
          <w:szCs w:val="23"/>
          <w:highlight w:val="yellow"/>
        </w:rPr>
        <w:t>.</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rsidR="00944640" w:rsidRPr="00BE53BE" w:rsidRDefault="00944640" w:rsidP="005A0170">
      <w:pPr>
        <w:pStyle w:val="Sinespaciado"/>
        <w:spacing w:before="20" w:after="20" w:line="276" w:lineRule="auto"/>
        <w:jc w:val="both"/>
        <w:rPr>
          <w:rFonts w:ascii="Cambria" w:hAnsi="Cambria"/>
          <w:sz w:val="23"/>
          <w:szCs w:val="23"/>
        </w:rPr>
      </w:pPr>
    </w:p>
    <w:p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rsidR="003C664B" w:rsidRPr="00BE53BE" w:rsidRDefault="003C664B" w:rsidP="005A0170">
      <w:pPr>
        <w:pStyle w:val="Sinespaciado"/>
        <w:spacing w:before="20" w:after="20" w:line="276" w:lineRule="auto"/>
        <w:jc w:val="both"/>
        <w:rPr>
          <w:rFonts w:ascii="Cambria" w:hAnsi="Cambria"/>
          <w:sz w:val="23"/>
          <w:szCs w:val="23"/>
        </w:rPr>
      </w:pPr>
    </w:p>
    <w:p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rsidR="00D67902" w:rsidRPr="00BE53BE" w:rsidRDefault="00D67902"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rsidR="00D67902" w:rsidRPr="00BE53BE" w:rsidRDefault="00D67902" w:rsidP="005A0170">
      <w:pPr>
        <w:pStyle w:val="Sinespaciado"/>
        <w:spacing w:before="20" w:after="20" w:line="276" w:lineRule="auto"/>
        <w:jc w:val="both"/>
        <w:rPr>
          <w:rFonts w:ascii="Cambria" w:hAnsi="Cambria"/>
          <w:sz w:val="23"/>
          <w:szCs w:val="23"/>
        </w:rPr>
      </w:pPr>
    </w:p>
    <w:p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rsidR="00C86A08" w:rsidRPr="00BE53BE" w:rsidRDefault="00C86A08" w:rsidP="005A0170">
      <w:pPr>
        <w:pStyle w:val="Sinespaciado"/>
        <w:spacing w:before="20" w:after="20" w:line="276" w:lineRule="auto"/>
        <w:jc w:val="both"/>
        <w:rPr>
          <w:rFonts w:ascii="Cambria" w:hAnsi="Cambria"/>
          <w:sz w:val="23"/>
          <w:szCs w:val="23"/>
        </w:rPr>
      </w:pPr>
    </w:p>
    <w:p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PRUEBA</w:t>
      </w:r>
      <w:r w:rsidR="00BB1DF1" w:rsidRPr="00996500">
        <w:rPr>
          <w:rFonts w:ascii="Cambria" w:hAnsi="Cambria"/>
          <w:sz w:val="23"/>
          <w:szCs w:val="23"/>
          <w:highlight w:val="yellow"/>
        </w:rPr>
        <w:t>”:</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COOP. NUEVA JERUSALEN 2 M2842 SL 21</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0996414124</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madeline.munozv@ug.edu.ec</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Guayaquil</w:t>
      </w:r>
      <w:r w:rsidRPr="00996500">
        <w:rPr>
          <w:rFonts w:ascii="Cambria" w:hAnsi="Cambria"/>
          <w:sz w:val="23"/>
          <w:szCs w:val="23"/>
          <w:highlight w:val="yellow"/>
        </w:rPr>
        <w:t xml:space="preserve">, </w:t>
      </w:r>
      <w:r w:rsidRPr="00996500">
        <w:rPr>
          <w:rFonts w:ascii="Cambria" w:hAnsi="Cambria"/>
          <w:sz w:val="23"/>
          <w:szCs w:val="23"/>
        </w:rPr>
        <w:t>Ecuador.</w:t>
      </w:r>
    </w:p>
    <w:p w:rsidR="00000E9D" w:rsidRPr="00BE53BE" w:rsidRDefault="00000E9D" w:rsidP="005A0170">
      <w:pPr>
        <w:pStyle w:val="Sinespaciado"/>
        <w:spacing w:before="20" w:after="20" w:line="276" w:lineRule="auto"/>
        <w:jc w:val="both"/>
        <w:rPr>
          <w:rFonts w:ascii="Cambria" w:hAnsi="Cambria"/>
          <w:sz w:val="23"/>
          <w:szCs w:val="23"/>
        </w:rPr>
      </w:pPr>
    </w:p>
    <w:p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rsidR="00D67902" w:rsidRPr="00BE53BE" w:rsidRDefault="00D67902" w:rsidP="005A0170">
      <w:pPr>
        <w:pStyle w:val="Sinespaciado"/>
        <w:spacing w:before="20" w:after="20" w:line="276" w:lineRule="auto"/>
        <w:jc w:val="both"/>
        <w:rPr>
          <w:rFonts w:ascii="Cambria" w:hAnsi="Cambria"/>
          <w:sz w:val="23"/>
          <w:szCs w:val="23"/>
        </w:rPr>
      </w:pP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rsidR="0021645E" w:rsidRPr="00BE53BE" w:rsidRDefault="0021645E" w:rsidP="005A0170">
      <w:pPr>
        <w:pStyle w:val="Sinespaciado"/>
        <w:spacing w:before="20" w:after="20" w:line="276" w:lineRule="auto"/>
        <w:jc w:val="both"/>
        <w:rPr>
          <w:rFonts w:ascii="Cambria" w:hAnsi="Cambria"/>
          <w:sz w:val="23"/>
          <w:szCs w:val="23"/>
        </w:rPr>
      </w:pPr>
    </w:p>
    <w:p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rsidR="00870678" w:rsidRPr="00BE53BE" w:rsidRDefault="00870678"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rsidR="00694F97" w:rsidRPr="00BE53BE" w:rsidRDefault="00694F97"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rsidR="009D1B75" w:rsidRPr="00BE53BE" w:rsidRDefault="009D1B75" w:rsidP="005A0170">
      <w:pPr>
        <w:pStyle w:val="Sinespaciado"/>
        <w:spacing w:before="20" w:after="20" w:line="276" w:lineRule="auto"/>
        <w:jc w:val="both"/>
        <w:rPr>
          <w:rFonts w:ascii="Cambria" w:hAnsi="Cambria"/>
          <w:sz w:val="23"/>
          <w:szCs w:val="23"/>
        </w:rPr>
      </w:pPr>
    </w:p>
    <w:p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w:t>
      </w:r>
      <w:bookmarkStart w:id="0" w:name="_GoBack"/>
      <w:bookmarkEnd w:id="0"/>
      <w:r w:rsidR="00D375A0" w:rsidRPr="00BE53BE">
        <w:rPr>
          <w:rFonts w:ascii="Cambria" w:hAnsi="Cambria"/>
          <w:sz w:val="23"/>
          <w:szCs w:val="23"/>
        </w:rPr>
        <w:t xml:space="preserve">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9 de mayo del 2025</w:t>
      </w:r>
      <w:r w:rsidR="00141670" w:rsidRPr="00BB68ED">
        <w:rPr>
          <w:rFonts w:ascii="Cambria" w:hAnsi="Cambria"/>
          <w:color w:val="FF0000"/>
          <w:sz w:val="23"/>
          <w:szCs w:val="23"/>
          <w:highlight w:val="yellow"/>
        </w:rPr>
        <w:t>.</w:t>
      </w:r>
    </w:p>
    <w:p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rsidTr="00C339FF">
        <w:trPr>
          <w:trHeight w:val="1124"/>
        </w:trPr>
        <w:tc>
          <w:tcPr>
            <w:tcW w:w="4219"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PRUEBA DESDE API</w:t>
            </w:r>
            <w:r w:rsidR="00141670" w:rsidRPr="00996500">
              <w:rPr>
                <w:rFonts w:ascii="Cambria" w:hAnsi="Cambria"/>
                <w:color w:val="000000" w:themeColor="text1"/>
                <w:sz w:val="23"/>
                <w:szCs w:val="23"/>
                <w:highlight w:val="yellow"/>
              </w:rPr>
              <w:t>.</w:t>
            </w:r>
          </w:p>
          <w:p w:rsidR="00CB3208" w:rsidRPr="00BE53BE" w:rsidRDefault="00CB3208" w:rsidP="00C339FF">
            <w:pPr>
              <w:pStyle w:val="Sinespaciado"/>
              <w:spacing w:before="20" w:after="20" w:line="276" w:lineRule="auto"/>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rsidTr="00C339FF">
        <w:trPr>
          <w:trHeight w:val="1515"/>
        </w:trPr>
        <w:tc>
          <w:tcPr>
            <w:tcW w:w="4219" w:type="dxa"/>
            <w:shd w:val="clear" w:color="auto" w:fill="auto"/>
          </w:tcPr>
          <w:p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shd w:val="clear" w:color="auto" w:fill="auto"/>
          </w:tcPr>
          <w:p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Betzabeth Madeline Muñoz Villegas</w:t>
            </w:r>
          </w:p>
          <w:p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JP</w:t>
            </w:r>
          </w:p>
        </w:tc>
      </w:tr>
    </w:tbl>
    <w:p w:rsidR="00227A7F" w:rsidRPr="00BE53BE" w:rsidRDefault="00227A7F" w:rsidP="005A0170">
      <w:pPr>
        <w:pStyle w:val="Sinespaciado"/>
        <w:spacing w:before="20" w:after="20" w:line="276" w:lineRule="auto"/>
        <w:jc w:val="both"/>
        <w:rPr>
          <w:rFonts w:ascii="Cambria" w:hAnsi="Cambria"/>
          <w:sz w:val="23"/>
          <w:szCs w:val="23"/>
        </w:rPr>
      </w:pPr>
    </w:p>
    <w:p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82" w:rsidRDefault="00AF6682" w:rsidP="001F5480">
      <w:pPr>
        <w:spacing w:after="0" w:line="240" w:lineRule="auto"/>
      </w:pPr>
      <w:r>
        <w:separator/>
      </w:r>
    </w:p>
  </w:endnote>
  <w:endnote w:type="continuationSeparator" w:id="0">
    <w:p w:rsidR="00AF6682" w:rsidRDefault="00AF6682"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PRUEBA DESDE API</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82" w:rsidRDefault="00AF6682" w:rsidP="001F5480">
      <w:pPr>
        <w:spacing w:after="0" w:line="240" w:lineRule="auto"/>
      </w:pPr>
      <w:r>
        <w:separator/>
      </w:r>
    </w:p>
  </w:footnote>
  <w:footnote w:type="continuationSeparator" w:id="0">
    <w:p w:rsidR="00AF6682" w:rsidRDefault="00AF6682"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C5B9A78" wp14:editId="0141A26C">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pict>
        <v:shape type="#_x0000_t75" style="width:80px;height:80px" stroked="f" filled="f">
          <v:imagedata r:id="rId2" o:title=""/>
        </v:shape>
      </w:pict>
      <w:t/>
    </w:r>
    <w:r w:rsidR="001F5480">
      <w:rPr>
        <w:b/>
        <w:sz w:val="28"/>
        <w:szCs w:val="1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10"/>
  </w:num>
  <w:num w:numId="2">
    <w:abstractNumId w:val="20"/>
  </w:num>
  <w:num w:numId="3">
    <w:abstractNumId w:val="19"/>
  </w:num>
  <w:num w:numId="4">
    <w:abstractNumId w:val="18"/>
  </w:num>
  <w:num w:numId="5">
    <w:abstractNumId w:val="5"/>
  </w:num>
  <w:num w:numId="6">
    <w:abstractNumId w:val="17"/>
  </w:num>
  <w:num w:numId="7">
    <w:abstractNumId w:val="13"/>
  </w:num>
  <w:num w:numId="8">
    <w:abstractNumId w:val="3"/>
  </w:num>
  <w:num w:numId="9">
    <w:abstractNumId w:val="9"/>
  </w:num>
  <w:num w:numId="10">
    <w:abstractNumId w:val="8"/>
  </w:num>
  <w:num w:numId="11">
    <w:abstractNumId w:val="4"/>
  </w:num>
  <w:num w:numId="12">
    <w:abstractNumId w:val="16"/>
  </w:num>
  <w:num w:numId="13">
    <w:abstractNumId w:val="15"/>
  </w:num>
  <w:num w:numId="14">
    <w:abstractNumId w:val="7"/>
  </w:num>
  <w:num w:numId="15">
    <w:abstractNumId w:val="0"/>
  </w:num>
  <w:num w:numId="16">
    <w:abstractNumId w:val="2"/>
  </w:num>
  <w:num w:numId="17">
    <w:abstractNumId w:val="6"/>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16963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59</cp:revision>
  <cp:lastPrinted>2023-01-06T21:27:00Z</cp:lastPrinted>
  <dcterms:created xsi:type="dcterms:W3CDTF">2025-06-22T04:04:00Z</dcterms:created>
  <dcterms:modified xsi:type="dcterms:W3CDTF">2025-07-07T22:17:00Z</dcterms:modified>
</cp:coreProperties>
</file>