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E68F86">
      <w:pPr>
        <w:spacing w:after="40"/>
      </w:pPr>
      <w:r>
        <w:rPr>
          <w:b/>
          <w:bCs/>
          <w:color w:val="585C4E"/>
          <w:sz w:val="18"/>
          <w:szCs w:val="18"/>
        </w:rPr>
        <w:t>PORTFOLIO PROJECT 5</w:t>
      </w:r>
    </w:p>
    <w:p w14:paraId="3AB145BC">
      <w:pPr>
        <w:spacing w:after="100"/>
      </w:pPr>
      <w:r>
        <w:rPr>
          <w:b/>
          <w:bCs/>
          <w:color w:val="2F4B3C"/>
          <w:sz w:val="36"/>
          <w:szCs w:val="36"/>
        </w:rPr>
        <w:t>Council Waste Operations Dashboard</w:t>
      </w:r>
    </w:p>
    <w:p w14:paraId="4AA9425B">
      <w:pPr>
        <w:spacing w:after="300"/>
      </w:pPr>
      <w:r>
        <w:rPr>
          <w:i/>
          <w:iCs/>
          <w:color w:val="585C4E"/>
          <w:sz w:val="22"/>
          <w:szCs w:val="22"/>
        </w:rPr>
        <w:t>A Looker Studio dashboard built from real, messy UK council waste collection data, covering a full year across 367 sites.</w:t>
      </w:r>
    </w:p>
    <w:p w14:paraId="6472740A">
      <w:pPr>
        <w:pStyle w:val="2"/>
        <w:spacing w:before="300" w:after="150"/>
      </w:pPr>
      <w:r>
        <w:rPr>
          <w:b/>
          <w:bCs/>
          <w:color w:val="2F4B3C"/>
          <w:sz w:val="28"/>
          <w:szCs w:val="28"/>
        </w:rPr>
        <w:t>Overview</w:t>
      </w:r>
    </w:p>
    <w:p w14:paraId="18DAB411">
      <w:pPr>
        <w:spacing w:after="120" w:line="300" w:lineRule="auto"/>
      </w:pPr>
      <w:r>
        <w:rPr>
          <w:sz w:val="22"/>
          <w:szCs w:val="22"/>
        </w:rPr>
        <w:t>Local councils manage waste collection across hundreds of sites, schools, care homes, libraries, and offices, each generating both general waste and recyclable card. Without a central view, it's hard to see which departments generate the most waste, whether recycling is actually happening, or which sites need attention.</w:t>
      </w:r>
    </w:p>
    <w:p w14:paraId="7CCD9EC4">
      <w:pPr>
        <w:spacing w:after="120" w:line="300" w:lineRule="auto"/>
      </w:pPr>
      <w:r>
        <w:rPr>
          <w:sz w:val="22"/>
          <w:szCs w:val="22"/>
        </w:rPr>
        <w:t>This project uses a real, publicly released dataset from a UK local authority (Leeds City Council), covering April 2008 to March 2009, to build a dashboard that answers those questions at a glance.</w:t>
      </w:r>
    </w:p>
    <w:p w14:paraId="42B4BC3D">
      <w:pPr>
        <w:pStyle w:val="2"/>
        <w:spacing w:before="300" w:after="150"/>
      </w:pPr>
      <w:r>
        <w:rPr>
          <w:b/>
          <w:bCs/>
          <w:color w:val="2F4B3C"/>
          <w:sz w:val="28"/>
          <w:szCs w:val="28"/>
        </w:rPr>
        <w:t>The data</w:t>
      </w:r>
    </w:p>
    <w:p w14:paraId="11B14871">
      <w:pPr>
        <w:spacing w:after="120" w:line="300" w:lineRule="auto"/>
      </w:pPr>
      <w:r>
        <w:rPr>
          <w:sz w:val="22"/>
          <w:szCs w:val="22"/>
        </w:rPr>
        <w:t>The raw dataset had genuine real-world problems, not the clean kind you get from tutorial data: 367 individual sites across 12 council directorates, logged monthly, with typo'd bin type labels, blank trailing rows, and a wide, month-per-column layout that isn't dashboard-friendly.</w:t>
      </w:r>
    </w:p>
    <w:p w14:paraId="79422ACA">
      <w:pPr>
        <w:pStyle w:val="16"/>
        <w:numPr>
          <w:ilvl w:val="0"/>
          <w:numId w:val="1"/>
        </w:numPr>
        <w:spacing w:after="80" w:line="280" w:lineRule="auto"/>
      </w:pPr>
      <w:r>
        <w:rPr>
          <w:sz w:val="22"/>
          <w:szCs w:val="22"/>
        </w:rPr>
        <w:t>Fixed inconsistent bin type labels (two separate typos both meant the same 1100L waste bin)</w:t>
      </w:r>
    </w:p>
    <w:p w14:paraId="50F67413">
      <w:pPr>
        <w:pStyle w:val="16"/>
        <w:numPr>
          <w:ilvl w:val="0"/>
          <w:numId w:val="1"/>
        </w:numPr>
        <w:spacing w:after="80" w:line="280" w:lineRule="auto"/>
      </w:pPr>
      <w:r>
        <w:rPr>
          <w:sz w:val="22"/>
          <w:szCs w:val="22"/>
        </w:rPr>
        <w:t>Removed blank rows and trimmed stray whitespace from site and directorate names</w:t>
      </w:r>
    </w:p>
    <w:p w14:paraId="00B34ADD">
      <w:pPr>
        <w:pStyle w:val="16"/>
        <w:numPr>
          <w:ilvl w:val="0"/>
          <w:numId w:val="1"/>
        </w:numPr>
        <w:spacing w:after="80" w:line="280" w:lineRule="auto"/>
      </w:pPr>
      <w:r>
        <w:rPr>
          <w:sz w:val="22"/>
          <w:szCs w:val="22"/>
        </w:rPr>
        <w:t>Reshaped the data from wide (12 month columns) into tidy long format, one row per site/bin/month, which is what proper dashboard tools need for time-series charts</w:t>
      </w:r>
    </w:p>
    <w:p w14:paraId="487D96BB">
      <w:pPr>
        <w:pStyle w:val="16"/>
        <w:numPr>
          <w:ilvl w:val="0"/>
          <w:numId w:val="1"/>
        </w:numPr>
        <w:spacing w:after="80" w:line="280" w:lineRule="auto"/>
      </w:pPr>
      <w:r>
        <w:rPr>
          <w:sz w:val="22"/>
          <w:szCs w:val="22"/>
        </w:rPr>
        <w:t>Distinguished genuinely missing months from true zero-tonnage months, since 'no data recorded' and 'bin not used' are different facts and conflating them would distort the averages</w:t>
      </w:r>
    </w:p>
    <w:p w14:paraId="2F47E54E">
      <w:pPr>
        <w:pStyle w:val="2"/>
        <w:spacing w:before="300" w:after="150"/>
      </w:pPr>
      <w:r>
        <w:rPr>
          <w:b/>
          <w:bCs/>
          <w:color w:val="2F4B3C"/>
          <w:sz w:val="28"/>
          <w:szCs w:val="28"/>
        </w:rPr>
        <w:t>What was built</w:t>
      </w:r>
    </w:p>
    <w:p w14:paraId="040662BE">
      <w:pPr>
        <w:pStyle w:val="16"/>
        <w:numPr>
          <w:ilvl w:val="0"/>
          <w:numId w:val="1"/>
        </w:numPr>
        <w:spacing w:after="80" w:line="280" w:lineRule="auto"/>
      </w:pPr>
      <w:r>
        <w:rPr>
          <w:sz w:val="22"/>
          <w:szCs w:val="22"/>
        </w:rPr>
        <w:t>Scorecards for total tonnage, sites tracked, General Waste, and Card/Recycling totals</w:t>
      </w:r>
    </w:p>
    <w:p w14:paraId="2682EAC6">
      <w:pPr>
        <w:pStyle w:val="16"/>
        <w:numPr>
          <w:ilvl w:val="0"/>
          <w:numId w:val="1"/>
        </w:numPr>
        <w:spacing w:after="80" w:line="280" w:lineRule="auto"/>
      </w:pPr>
      <w:r>
        <w:rPr>
          <w:sz w:val="22"/>
          <w:szCs w:val="22"/>
        </w:rPr>
        <w:t>A monthly trend chart comparing General Waste against Recycling across the year</w:t>
      </w:r>
    </w:p>
    <w:p w14:paraId="3FE016E2">
      <w:pPr>
        <w:pStyle w:val="16"/>
        <w:numPr>
          <w:ilvl w:val="0"/>
          <w:numId w:val="1"/>
        </w:numPr>
        <w:spacing w:after="80" w:line="280" w:lineRule="auto"/>
      </w:pPr>
      <w:r>
        <w:rPr>
          <w:sz w:val="22"/>
          <w:szCs w:val="22"/>
        </w:rPr>
        <w:t>A directorate comparison, showing which council departments generate the most waste</w:t>
      </w:r>
    </w:p>
    <w:p w14:paraId="441E93E3">
      <w:pPr>
        <w:pStyle w:val="16"/>
        <w:numPr>
          <w:ilvl w:val="0"/>
          <w:numId w:val="1"/>
        </w:numPr>
        <w:spacing w:after="80" w:line="280" w:lineRule="auto"/>
      </w:pPr>
      <w:r>
        <w:rPr>
          <w:sz w:val="22"/>
          <w:szCs w:val="22"/>
        </w:rPr>
        <w:t>A bin type breakdown, showing which bin sizes carry most of the tonnage</w:t>
      </w:r>
    </w:p>
    <w:p w14:paraId="2EA9EE6B">
      <w:pPr>
        <w:pStyle w:val="16"/>
        <w:numPr>
          <w:ilvl w:val="0"/>
          <w:numId w:val="1"/>
        </w:numPr>
        <w:spacing w:after="80" w:line="280" w:lineRule="auto"/>
      </w:pPr>
      <w:r>
        <w:rPr>
          <w:sz w:val="22"/>
          <w:szCs w:val="22"/>
        </w:rPr>
        <w:t>A sortable table ranking individual sites by total tonnage collected</w:t>
      </w:r>
    </w:p>
    <w:p w14:paraId="29E95130">
      <w:pPr>
        <w:pStyle w:val="2"/>
        <w:spacing w:before="300" w:after="150"/>
      </w:pPr>
      <w:r>
        <w:rPr>
          <w:b/>
          <w:bCs/>
          <w:color w:val="2F4B3C"/>
          <w:sz w:val="28"/>
          <w:szCs w:val="28"/>
        </w:rPr>
        <w:t>Key findings</w:t>
      </w:r>
    </w:p>
    <w:p w14:paraId="7E71254B">
      <w:pPr>
        <w:spacing w:after="120" w:line="300" w:lineRule="auto"/>
      </w:pPr>
      <w:r>
        <w:rPr>
          <w:sz w:val="22"/>
          <w:szCs w:val="22"/>
        </w:rPr>
        <w:t>General Waste made up roughly 82% of total tonnage versus 18% for recycling, a real gap worth flagging if this were a live council improvement project. The large 1100L bins carried close to three-quarters of all tonnage collected, meaning bin-size strategy should focus there first. Learning &amp; Leisure and Social Care were the two highest-waste directorates by a clear margin.</w:t>
      </w:r>
    </w:p>
    <w:tbl>
      <w:tblPr>
        <w:tblStyle w:val="9"/>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500"/>
        <w:gridCol w:w="2500"/>
        <w:gridCol w:w="2500"/>
      </w:tblGrid>
      <w:tr w14:paraId="7A078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EAE7DD"/>
            <w:tcMar>
              <w:top w:w="120" w:type="dxa"/>
              <w:left w:w="120" w:type="dxa"/>
              <w:bottom w:w="120" w:type="dxa"/>
              <w:right w:w="120" w:type="dxa"/>
            </w:tcMar>
          </w:tcPr>
          <w:p w14:paraId="29F31B16">
            <w:r>
              <w:rPr>
                <w:color w:val="585C4E"/>
                <w:sz w:val="18"/>
                <w:szCs w:val="18"/>
              </w:rPr>
              <w:t>Total tonnage</w:t>
            </w:r>
          </w:p>
          <w:p w14:paraId="0812A6BE">
            <w:r>
              <w:rPr>
                <w:b/>
                <w:bCs/>
                <w:color w:val="2F4B3C"/>
                <w:sz w:val="26"/>
                <w:szCs w:val="26"/>
              </w:rPr>
              <w:t>2,027.6 t</w:t>
            </w:r>
          </w:p>
        </w:tc>
        <w:tc>
          <w:tcPr>
            <w:tcW w:w="2500" w:type="dxa"/>
            <w:shd w:val="clear" w:color="auto" w:fill="EAE7DD"/>
            <w:tcMar>
              <w:top w:w="120" w:type="dxa"/>
              <w:left w:w="120" w:type="dxa"/>
              <w:bottom w:w="120" w:type="dxa"/>
              <w:right w:w="120" w:type="dxa"/>
            </w:tcMar>
          </w:tcPr>
          <w:p w14:paraId="64DD762A">
            <w:r>
              <w:rPr>
                <w:color w:val="585C4E"/>
                <w:sz w:val="18"/>
                <w:szCs w:val="18"/>
              </w:rPr>
              <w:t>Sites tracked</w:t>
            </w:r>
          </w:p>
          <w:p w14:paraId="0741E19B">
            <w:r>
              <w:rPr>
                <w:b/>
                <w:bCs/>
                <w:color w:val="2F4B3C"/>
                <w:sz w:val="26"/>
                <w:szCs w:val="26"/>
              </w:rPr>
              <w:t>367</w:t>
            </w:r>
          </w:p>
        </w:tc>
        <w:tc>
          <w:tcPr>
            <w:tcW w:w="2500" w:type="dxa"/>
            <w:shd w:val="clear" w:color="auto" w:fill="EAE7DD"/>
            <w:tcMar>
              <w:top w:w="120" w:type="dxa"/>
              <w:left w:w="120" w:type="dxa"/>
              <w:bottom w:w="120" w:type="dxa"/>
              <w:right w:w="120" w:type="dxa"/>
            </w:tcMar>
          </w:tcPr>
          <w:p w14:paraId="732AE93A">
            <w:r>
              <w:rPr>
                <w:color w:val="585C4E"/>
                <w:sz w:val="18"/>
                <w:szCs w:val="18"/>
              </w:rPr>
              <w:t>General waste</w:t>
            </w:r>
          </w:p>
          <w:p w14:paraId="201C0002">
            <w:r>
              <w:rPr>
                <w:b/>
                <w:bCs/>
                <w:color w:val="2F4B3C"/>
                <w:sz w:val="26"/>
                <w:szCs w:val="26"/>
              </w:rPr>
              <w:t>82%</w:t>
            </w:r>
          </w:p>
        </w:tc>
        <w:tc>
          <w:tcPr>
            <w:tcW w:w="2500" w:type="dxa"/>
            <w:shd w:val="clear" w:color="auto" w:fill="EAE7DD"/>
            <w:tcMar>
              <w:top w:w="120" w:type="dxa"/>
              <w:left w:w="120" w:type="dxa"/>
              <w:bottom w:w="120" w:type="dxa"/>
              <w:right w:w="120" w:type="dxa"/>
            </w:tcMar>
          </w:tcPr>
          <w:p w14:paraId="6975915C">
            <w:r>
              <w:rPr>
                <w:color w:val="585C4E"/>
                <w:sz w:val="18"/>
                <w:szCs w:val="18"/>
              </w:rPr>
              <w:t>Recycling (Card)</w:t>
            </w:r>
          </w:p>
          <w:p w14:paraId="7A111CA0">
            <w:r>
              <w:rPr>
                <w:b/>
                <w:bCs/>
                <w:color w:val="2F4B3C"/>
                <w:sz w:val="26"/>
                <w:szCs w:val="26"/>
              </w:rPr>
              <w:t>18%</w:t>
            </w:r>
          </w:p>
        </w:tc>
      </w:tr>
    </w:tbl>
    <w:p w14:paraId="24B253C8">
      <w:pPr>
        <w:pStyle w:val="2"/>
        <w:spacing w:before="300" w:after="150"/>
      </w:pPr>
      <w:r>
        <w:rPr>
          <w:b/>
          <w:bCs/>
          <w:color w:val="2F4B3C"/>
          <w:sz w:val="28"/>
          <w:szCs w:val="28"/>
        </w:rPr>
        <w:t>Tools used</w:t>
      </w:r>
    </w:p>
    <w:p w14:paraId="3518E4F2">
      <w:pPr>
        <w:pStyle w:val="16"/>
        <w:numPr>
          <w:ilvl w:val="0"/>
          <w:numId w:val="1"/>
        </w:numPr>
        <w:spacing w:after="80" w:line="280" w:lineRule="auto"/>
      </w:pPr>
      <w:r>
        <w:rPr>
          <w:sz w:val="22"/>
          <w:szCs w:val="22"/>
        </w:rPr>
        <w:t>Excel / Python (pandas) — data inspection and cleaning</w:t>
      </w:r>
    </w:p>
    <w:p w14:paraId="661B0093">
      <w:pPr>
        <w:pStyle w:val="16"/>
        <w:numPr>
          <w:ilvl w:val="0"/>
          <w:numId w:val="1"/>
        </w:numPr>
        <w:spacing w:after="80" w:line="280" w:lineRule="auto"/>
      </w:pPr>
      <w:r>
        <w:rPr>
          <w:sz w:val="22"/>
          <w:szCs w:val="22"/>
        </w:rPr>
        <w:t>Google Sheets — hosting the cleaned data source</w:t>
      </w:r>
    </w:p>
    <w:p w14:paraId="2C88A55F">
      <w:pPr>
        <w:pStyle w:val="16"/>
        <w:numPr>
          <w:ilvl w:val="0"/>
          <w:numId w:val="1"/>
        </w:numPr>
        <w:spacing w:after="80" w:line="280" w:lineRule="auto"/>
      </w:pPr>
      <w:r>
        <w:rPr>
          <w:sz w:val="22"/>
          <w:szCs w:val="22"/>
        </w:rPr>
        <w:t>Looker Studio — live, connected dashboard</w:t>
      </w:r>
    </w:p>
    <w:p w14:paraId="3E2867AA">
      <w:pPr>
        <w:pStyle w:val="2"/>
        <w:spacing w:before="300" w:after="150"/>
      </w:pPr>
      <w:r>
        <w:rPr>
          <w:b/>
          <w:bCs/>
          <w:color w:val="2F4B3C"/>
          <w:sz w:val="28"/>
          <w:szCs w:val="28"/>
        </w:rPr>
        <w:t>Why this matters</w:t>
      </w:r>
    </w:p>
    <w:p w14:paraId="694C7EA6">
      <w:pPr>
        <w:spacing w:after="120" w:line="300" w:lineRule="auto"/>
      </w:pPr>
      <w:r>
        <w:rPr>
          <w:sz w:val="22"/>
          <w:szCs w:val="22"/>
        </w:rPr>
        <w:t>This project shows the part of data analysis that doesn't show up in a tutorial: real data has typos, inconsistent formats, and genuine gaps. Cleaning it correctly, without losing real signal in the process, is most of the job. The dashboard itself then turns twelve months of raw log entries into four clear, decision-ready answers.</w:t>
      </w:r>
    </w:p>
    <w:p w14:paraId="48CFF530">
      <w:pPr>
        <w:pStyle w:val="2"/>
        <w:spacing w:before="300" w:after="150"/>
      </w:pPr>
      <w:r>
        <w:rPr>
          <w:b/>
          <w:bCs/>
          <w:color w:val="2F4B3C"/>
          <w:sz w:val="28"/>
          <w:szCs w:val="28"/>
        </w:rPr>
        <w:t>Live dashboard</w:t>
      </w:r>
    </w:p>
    <w:p w14:paraId="745B37B3">
      <w:pPr>
        <w:spacing w:after="120" w:line="300" w:lineRule="auto"/>
        <w:rPr>
          <w:i/>
          <w:iCs/>
          <w:color w:val="585C4E"/>
          <w:sz w:val="22"/>
          <w:szCs w:val="22"/>
        </w:rPr>
      </w:pPr>
      <w:r>
        <w:rPr>
          <w:rFonts w:hint="default"/>
          <w:i/>
          <w:iCs/>
          <w:color w:val="585C4E"/>
          <w:sz w:val="22"/>
          <w:szCs w:val="22"/>
        </w:rPr>
        <w:t>https://datastudio.google.com/s/j7j5F0gP2HM</w:t>
      </w:r>
      <w:bookmarkStart w:id="0" w:name="_GoBack"/>
      <w:bookmarkEnd w:id="0"/>
    </w:p>
    <w:sectPr>
      <w:pgSz w:w="12240" w:h="15840"/>
      <w:pgMar w:top="1000" w:right="1100" w:bottom="1000" w:left="11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compat>
    <w:compatSetting w:name="compatibilityMode" w:uri="http://schemas.microsoft.com/office/word" w:val="15"/>
  </w:compat>
  <w:rsids>
    <w:rsidRoot w:val="00000000"/>
    <w:rsid w:val="1AEF40A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470</Words>
  <Characters>2543</Characters>
  <TotalTime>0</TotalTime>
  <ScaleCrop>false</ScaleCrop>
  <LinksUpToDate>false</LinksUpToDate>
  <CharactersWithSpaces>2977</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2026-09-28T22:13:00Z</dcterms:created>
  <dc:creator>Un-named</dc:creator>
  <cp:lastModifiedBy>Jeffrey Atenaga</cp:lastModifiedBy>
  <dcterms:modified xsi:type="dcterms:W3CDTF">2026-09-28T22:22:55Z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eyJoZGlkIjoiYjhlNzQ0ZGVkOGFiYzg0MDM0YTY4MjY4NTQ5NmJkZGMiLCJ1c2VySWQiOiIyNzQ4Nzg1OTk1MTAzIn0=</vt:lpwstr>
  </property>
  <property fmtid="{D5CDD505-2E9C-101B-9397-08002B2CF9AE}" pid="3" name="KSOProductBuildVer">
    <vt:lpwstr>1033-12.1.0.28485</vt:lpwstr>
  </property>
  <property fmtid="{D5CDD505-2E9C-101B-9397-08002B2CF9AE}" pid="4" name="ICV">
    <vt:lpwstr>6577FFF706E64C7DB05ECE152C609B2A_12</vt:lpwstr>
  </property>
</Properties>
</file>