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4"/>
        </w:numPr>
        <w:tabs>
          <w:tab w:val="left" w:pos="0"/>
        </w:tabs>
        <w:spacing w:after="180" w:before="180" w:lineRule="auto"/>
        <w:ind w:left="0" w:firstLine="0"/>
        <w:rPr/>
      </w:pPr>
      <w:r w:rsidDel="00000000" w:rsidR="00000000" w:rsidRPr="00000000">
        <w:rPr>
          <w:rtl w:val="0"/>
        </w:rPr>
        <w:t xml:space="preserve">IIR Homework 3 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系統環境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作業系統 ： Ubuntu 20.04 LTS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程式語言 ： Python 3.7.9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網站架構 ： Django 3.1.1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Porter Stemmer : NLTK 3.5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讀取csv檔 ： Pandas 1.1.3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Word2Vec : gensim 3.8.0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資料降維 ： tsnecuda 2.1.0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實作方法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利用python的gensim套件建立word2vec，採用skip-gram方式。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先試著將IR hw2蒐集到的所有文件作前處理（刪除stop-wrods, stemming)，再將處理完的文字丟入word2vec做training。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word2vec model的Hyperparmeter設定如下：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使用skip-gram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Dimension為1000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Training的window size設定為3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頻率大於1的字都加入training (及所有文字都會training)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除了使用全部文檔之外，參考ir hw2，將所有文檔分subset，利用這些subset再train其特有的word2vec Model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實驗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利用t-SNE將word vector做降維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3542665</wp:posOffset>
            </wp:positionH>
            <wp:positionV relativeFrom="paragraph">
              <wp:posOffset>196850</wp:posOffset>
            </wp:positionV>
            <wp:extent cx="3054985" cy="227393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2273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66377</wp:posOffset>
            </wp:positionV>
            <wp:extent cx="3144520" cy="217551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175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上圖中 紅、藍、綠 分別對應下面zipf圖中的高頻字、中頻字和低頻字，可看出這3種字可被大致分成3種cluster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計算cosine similarity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25400</wp:posOffset>
            </wp:positionH>
            <wp:positionV relativeFrom="paragraph">
              <wp:posOffset>429260</wp:posOffset>
            </wp:positionV>
            <wp:extent cx="6001385" cy="277558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775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上圖為比較covid-19以及和其相似度高(cosine similarity)的字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1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