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37E53" w14:textId="50B2051B" w:rsidR="00380E33" w:rsidRDefault="0059431D">
      <w:r>
        <w:t xml:space="preserve">Data Sources </w:t>
      </w:r>
      <w:proofErr w:type="gramStart"/>
      <w:r>
        <w:t>For</w:t>
      </w:r>
      <w:proofErr w:type="gramEnd"/>
      <w:r>
        <w:t xml:space="preserve"> Interest Rates Prediction</w:t>
      </w:r>
    </w:p>
    <w:p w14:paraId="587ACFD3" w14:textId="244383E5" w:rsidR="0059431D" w:rsidRDefault="0059431D">
      <w:proofErr w:type="gramStart"/>
      <w:r>
        <w:t>Kaggle :</w:t>
      </w:r>
      <w:proofErr w:type="gramEnd"/>
      <w:r>
        <w:t xml:space="preserve">  4/9/2021</w:t>
      </w:r>
    </w:p>
    <w:p w14:paraId="6DE548D3" w14:textId="7A368524" w:rsidR="007E0B3C" w:rsidRPr="00161138" w:rsidRDefault="0059431D">
      <w:pPr>
        <w:rPr>
          <w:sz w:val="32"/>
          <w:szCs w:val="32"/>
        </w:rPr>
      </w:pPr>
      <w:r w:rsidRPr="00161138">
        <w:rPr>
          <w:sz w:val="32"/>
          <w:szCs w:val="32"/>
        </w:rPr>
        <w:t>The Federal Reserve – Comprehensive Capital Analysis and Review 2021</w:t>
      </w:r>
    </w:p>
    <w:p w14:paraId="603B5A5B" w14:textId="58CBC2E9" w:rsidR="007E0B3C" w:rsidRPr="00161138" w:rsidRDefault="007E0B3C">
      <w:pPr>
        <w:rPr>
          <w:sz w:val="32"/>
          <w:szCs w:val="32"/>
        </w:rPr>
      </w:pPr>
      <w:r w:rsidRPr="00161138">
        <w:rPr>
          <w:sz w:val="32"/>
          <w:szCs w:val="32"/>
        </w:rPr>
        <w:t xml:space="preserve">J. </w:t>
      </w:r>
      <w:proofErr w:type="gramStart"/>
      <w:r w:rsidRPr="00161138">
        <w:rPr>
          <w:sz w:val="32"/>
          <w:szCs w:val="32"/>
        </w:rPr>
        <w:t>Jones :</w:t>
      </w:r>
      <w:proofErr w:type="gramEnd"/>
      <w:r w:rsidRPr="00161138">
        <w:rPr>
          <w:sz w:val="32"/>
          <w:szCs w:val="32"/>
        </w:rPr>
        <w:t xml:space="preserve"> I am using the 2021-historic-domestic.csv file.</w:t>
      </w:r>
    </w:p>
    <w:p w14:paraId="1C01556A" w14:textId="77777777" w:rsidR="007E0B3C" w:rsidRPr="00161138" w:rsidRDefault="007E0B3C" w:rsidP="007E0B3C">
      <w:pPr>
        <w:ind w:left="720"/>
        <w:rPr>
          <w:sz w:val="32"/>
          <w:szCs w:val="32"/>
        </w:rPr>
      </w:pPr>
    </w:p>
    <w:p w14:paraId="05C3A534" w14:textId="39C3F4AE" w:rsidR="0059431D" w:rsidRDefault="0059431D" w:rsidP="007E0B3C">
      <w:pPr>
        <w:ind w:left="720"/>
      </w:pPr>
      <w:r>
        <w:t xml:space="preserve">Abdelghani </w:t>
      </w:r>
      <w:proofErr w:type="spellStart"/>
      <w:r>
        <w:t>Belgaid</w:t>
      </w:r>
      <w:proofErr w:type="spellEnd"/>
      <w:r>
        <w:t xml:space="preserve"> – updated 2 months ago</w:t>
      </w:r>
    </w:p>
    <w:p w14:paraId="2D8E7F38" w14:textId="2903BE96" w:rsidR="007E0B3C" w:rsidRDefault="007E0B3C" w:rsidP="007E0B3C">
      <w:pPr>
        <w:ind w:left="720"/>
      </w:pPr>
      <w:proofErr w:type="gramStart"/>
      <w:r>
        <w:t>License :</w:t>
      </w:r>
      <w:proofErr w:type="gramEnd"/>
      <w:r>
        <w:t xml:space="preserve"> Public Domain</w:t>
      </w:r>
    </w:p>
    <w:p w14:paraId="016922E7" w14:textId="1F7597A9" w:rsidR="0059431D" w:rsidRDefault="0059431D" w:rsidP="007E0B3C">
      <w:pPr>
        <w:ind w:left="720"/>
      </w:pPr>
      <w:proofErr w:type="gramStart"/>
      <w:r>
        <w:t>Description :</w:t>
      </w:r>
      <w:proofErr w:type="gramEnd"/>
      <w:r>
        <w:t xml:space="preserve"> </w:t>
      </w:r>
    </w:p>
    <w:p w14:paraId="16B01140" w14:textId="77777777" w:rsidR="0059431D" w:rsidRPr="0059431D" w:rsidRDefault="0059431D" w:rsidP="007E0B3C">
      <w:pPr>
        <w:shd w:val="clear" w:color="auto" w:fill="FFFFFF"/>
        <w:spacing w:before="60" w:after="240" w:line="240" w:lineRule="auto"/>
        <w:ind w:left="720"/>
        <w:textAlignment w:val="baseline"/>
        <w:outlineLvl w:val="2"/>
        <w:rPr>
          <w:rFonts w:ascii="Arial" w:eastAsia="Times New Roman" w:hAnsi="Arial" w:cs="Arial"/>
          <w:color w:val="000000"/>
          <w:sz w:val="27"/>
          <w:szCs w:val="27"/>
        </w:rPr>
      </w:pPr>
      <w:r w:rsidRPr="0059431D">
        <w:rPr>
          <w:rFonts w:ascii="Arial" w:eastAsia="Times New Roman" w:hAnsi="Arial" w:cs="Arial"/>
          <w:color w:val="000000"/>
          <w:sz w:val="27"/>
          <w:szCs w:val="27"/>
        </w:rPr>
        <w:t>Comprehensive Capital Analysis and Review 2021</w:t>
      </w:r>
    </w:p>
    <w:p w14:paraId="7B9290E6" w14:textId="77777777" w:rsidR="0059431D" w:rsidRPr="0059431D" w:rsidRDefault="0059431D" w:rsidP="007E0B3C">
      <w:pPr>
        <w:shd w:val="clear" w:color="auto" w:fill="FFFFFF"/>
        <w:spacing w:before="158" w:after="158" w:line="240" w:lineRule="auto"/>
        <w:ind w:left="720"/>
        <w:textAlignment w:val="baseline"/>
        <w:rPr>
          <w:rFonts w:ascii="Arial" w:eastAsia="Times New Roman" w:hAnsi="Arial" w:cs="Arial"/>
          <w:sz w:val="21"/>
          <w:szCs w:val="21"/>
        </w:rPr>
      </w:pPr>
      <w:r w:rsidRPr="0059431D">
        <w:rPr>
          <w:rFonts w:ascii="Arial" w:eastAsia="Times New Roman" w:hAnsi="Arial" w:cs="Arial"/>
          <w:sz w:val="21"/>
          <w:szCs w:val="21"/>
        </w:rPr>
        <w:t>Comprehensive Capital Analysis and Review (CCAR) is a United States regulatory framework introduced by the Federal Reserve to assess, regulate, and supervise large banks and financial institutions – collectively referred to in the framework as bank holding companies (BHCs).</w:t>
      </w:r>
    </w:p>
    <w:p w14:paraId="40CDC0CA" w14:textId="77777777" w:rsidR="0059431D" w:rsidRPr="0059431D" w:rsidRDefault="0059431D" w:rsidP="007E0B3C">
      <w:pPr>
        <w:shd w:val="clear" w:color="auto" w:fill="FFFFFF"/>
        <w:spacing w:before="158" w:after="158" w:line="240" w:lineRule="auto"/>
        <w:ind w:left="720"/>
        <w:textAlignment w:val="baseline"/>
        <w:rPr>
          <w:rFonts w:ascii="Arial" w:eastAsia="Times New Roman" w:hAnsi="Arial" w:cs="Arial"/>
          <w:sz w:val="21"/>
          <w:szCs w:val="21"/>
        </w:rPr>
      </w:pPr>
      <w:r w:rsidRPr="0059431D">
        <w:rPr>
          <w:rFonts w:ascii="Arial" w:eastAsia="Times New Roman" w:hAnsi="Arial" w:cs="Arial"/>
          <w:sz w:val="21"/>
          <w:szCs w:val="21"/>
        </w:rPr>
        <w:t>The assessment is conducted annually and consists of two related programs:</w:t>
      </w:r>
    </w:p>
    <w:p w14:paraId="3069DB54" w14:textId="77777777" w:rsidR="0059431D" w:rsidRPr="0059431D" w:rsidRDefault="0059431D" w:rsidP="007E0B3C">
      <w:pPr>
        <w:numPr>
          <w:ilvl w:val="0"/>
          <w:numId w:val="1"/>
        </w:numPr>
        <w:shd w:val="clear" w:color="auto" w:fill="FFFFFF"/>
        <w:tabs>
          <w:tab w:val="clear" w:pos="720"/>
          <w:tab w:val="num" w:pos="1440"/>
        </w:tabs>
        <w:spacing w:before="60" w:after="60" w:line="240" w:lineRule="auto"/>
        <w:ind w:left="1440"/>
        <w:textAlignment w:val="baseline"/>
        <w:rPr>
          <w:rFonts w:ascii="Arial" w:eastAsia="Times New Roman" w:hAnsi="Arial" w:cs="Arial"/>
          <w:sz w:val="21"/>
          <w:szCs w:val="21"/>
        </w:rPr>
      </w:pPr>
      <w:r w:rsidRPr="0059431D">
        <w:rPr>
          <w:rFonts w:ascii="Arial" w:eastAsia="Times New Roman" w:hAnsi="Arial" w:cs="Arial"/>
          <w:sz w:val="21"/>
          <w:szCs w:val="21"/>
        </w:rPr>
        <w:t>Comprehensive Capital Analysis and Review</w:t>
      </w:r>
    </w:p>
    <w:p w14:paraId="680FE61A" w14:textId="77777777" w:rsidR="0059431D" w:rsidRPr="0059431D" w:rsidRDefault="0059431D" w:rsidP="007E0B3C">
      <w:pPr>
        <w:numPr>
          <w:ilvl w:val="0"/>
          <w:numId w:val="1"/>
        </w:numPr>
        <w:shd w:val="clear" w:color="auto" w:fill="FFFFFF"/>
        <w:tabs>
          <w:tab w:val="clear" w:pos="720"/>
          <w:tab w:val="num" w:pos="1440"/>
        </w:tabs>
        <w:spacing w:before="60" w:after="60" w:line="240" w:lineRule="auto"/>
        <w:ind w:left="1440"/>
        <w:textAlignment w:val="baseline"/>
        <w:rPr>
          <w:rFonts w:ascii="Arial" w:eastAsia="Times New Roman" w:hAnsi="Arial" w:cs="Arial"/>
          <w:sz w:val="21"/>
          <w:szCs w:val="21"/>
        </w:rPr>
      </w:pPr>
      <w:r w:rsidRPr="0059431D">
        <w:rPr>
          <w:rFonts w:ascii="Arial" w:eastAsia="Times New Roman" w:hAnsi="Arial" w:cs="Arial"/>
          <w:sz w:val="21"/>
          <w:szCs w:val="21"/>
        </w:rPr>
        <w:t>Dodd–Frank Act supervisory stress testing</w:t>
      </w:r>
    </w:p>
    <w:p w14:paraId="44FB6350" w14:textId="77777777" w:rsidR="0059431D" w:rsidRPr="0059431D" w:rsidRDefault="0059431D" w:rsidP="007E0B3C">
      <w:pPr>
        <w:shd w:val="clear" w:color="auto" w:fill="FFFFFF"/>
        <w:spacing w:before="158" w:after="158" w:line="240" w:lineRule="auto"/>
        <w:ind w:left="720"/>
        <w:textAlignment w:val="baseline"/>
        <w:rPr>
          <w:rFonts w:ascii="Arial" w:eastAsia="Times New Roman" w:hAnsi="Arial" w:cs="Arial"/>
          <w:sz w:val="21"/>
          <w:szCs w:val="21"/>
        </w:rPr>
      </w:pPr>
      <w:r w:rsidRPr="0059431D">
        <w:rPr>
          <w:rFonts w:ascii="Arial" w:eastAsia="Times New Roman" w:hAnsi="Arial" w:cs="Arial"/>
          <w:sz w:val="21"/>
          <w:szCs w:val="21"/>
        </w:rPr>
        <w:t>The core part of the program assesses whether:</w:t>
      </w:r>
    </w:p>
    <w:p w14:paraId="7B1DD52B" w14:textId="77777777" w:rsidR="0059431D" w:rsidRPr="0059431D" w:rsidRDefault="0059431D" w:rsidP="007E0B3C">
      <w:pPr>
        <w:numPr>
          <w:ilvl w:val="0"/>
          <w:numId w:val="2"/>
        </w:numPr>
        <w:shd w:val="clear" w:color="auto" w:fill="FFFFFF"/>
        <w:tabs>
          <w:tab w:val="clear" w:pos="720"/>
          <w:tab w:val="num" w:pos="1440"/>
        </w:tabs>
        <w:spacing w:before="60" w:after="60" w:line="240" w:lineRule="auto"/>
        <w:ind w:left="1440"/>
        <w:textAlignment w:val="baseline"/>
        <w:rPr>
          <w:rFonts w:ascii="Arial" w:eastAsia="Times New Roman" w:hAnsi="Arial" w:cs="Arial"/>
          <w:sz w:val="21"/>
          <w:szCs w:val="21"/>
        </w:rPr>
      </w:pPr>
      <w:r w:rsidRPr="0059431D">
        <w:rPr>
          <w:rFonts w:ascii="Arial" w:eastAsia="Times New Roman" w:hAnsi="Arial" w:cs="Arial"/>
          <w:sz w:val="21"/>
          <w:szCs w:val="21"/>
        </w:rPr>
        <w:t>BHCs possess adequate capital.</w:t>
      </w:r>
    </w:p>
    <w:p w14:paraId="4287BC0C" w14:textId="77777777" w:rsidR="0059431D" w:rsidRPr="0059431D" w:rsidRDefault="0059431D" w:rsidP="007E0B3C">
      <w:pPr>
        <w:numPr>
          <w:ilvl w:val="0"/>
          <w:numId w:val="2"/>
        </w:numPr>
        <w:shd w:val="clear" w:color="auto" w:fill="FFFFFF"/>
        <w:tabs>
          <w:tab w:val="clear" w:pos="720"/>
          <w:tab w:val="num" w:pos="1440"/>
        </w:tabs>
        <w:spacing w:before="60" w:after="60" w:line="240" w:lineRule="auto"/>
        <w:ind w:left="1440"/>
        <w:textAlignment w:val="baseline"/>
        <w:rPr>
          <w:rFonts w:ascii="Arial" w:eastAsia="Times New Roman" w:hAnsi="Arial" w:cs="Arial"/>
          <w:sz w:val="21"/>
          <w:szCs w:val="21"/>
        </w:rPr>
      </w:pPr>
      <w:r w:rsidRPr="0059431D">
        <w:rPr>
          <w:rFonts w:ascii="Arial" w:eastAsia="Times New Roman" w:hAnsi="Arial" w:cs="Arial"/>
          <w:sz w:val="21"/>
          <w:szCs w:val="21"/>
        </w:rPr>
        <w:t>The capital structure is stable given various stress-test scenarios.</w:t>
      </w:r>
    </w:p>
    <w:p w14:paraId="6C45E1B6" w14:textId="77777777" w:rsidR="0059431D" w:rsidRPr="0059431D" w:rsidRDefault="0059431D" w:rsidP="007E0B3C">
      <w:pPr>
        <w:numPr>
          <w:ilvl w:val="0"/>
          <w:numId w:val="2"/>
        </w:numPr>
        <w:shd w:val="clear" w:color="auto" w:fill="FFFFFF"/>
        <w:tabs>
          <w:tab w:val="clear" w:pos="720"/>
          <w:tab w:val="num" w:pos="1440"/>
        </w:tabs>
        <w:spacing w:before="60" w:after="60" w:line="240" w:lineRule="auto"/>
        <w:ind w:left="1440"/>
        <w:textAlignment w:val="baseline"/>
        <w:rPr>
          <w:rFonts w:ascii="Arial" w:eastAsia="Times New Roman" w:hAnsi="Arial" w:cs="Arial"/>
          <w:sz w:val="21"/>
          <w:szCs w:val="21"/>
        </w:rPr>
      </w:pPr>
      <w:r w:rsidRPr="0059431D">
        <w:rPr>
          <w:rFonts w:ascii="Arial" w:eastAsia="Times New Roman" w:hAnsi="Arial" w:cs="Arial"/>
          <w:sz w:val="21"/>
          <w:szCs w:val="21"/>
        </w:rPr>
        <w:t xml:space="preserve">Planned capital distributions, such as dividends and share </w:t>
      </w:r>
      <w:proofErr w:type="gramStart"/>
      <w:r w:rsidRPr="0059431D">
        <w:rPr>
          <w:rFonts w:ascii="Arial" w:eastAsia="Times New Roman" w:hAnsi="Arial" w:cs="Arial"/>
          <w:sz w:val="21"/>
          <w:szCs w:val="21"/>
        </w:rPr>
        <w:t>repurchases</w:t>
      </w:r>
      <w:proofErr w:type="gramEnd"/>
      <w:r w:rsidRPr="0059431D">
        <w:rPr>
          <w:rFonts w:ascii="Arial" w:eastAsia="Times New Roman" w:hAnsi="Arial" w:cs="Arial"/>
          <w:sz w:val="21"/>
          <w:szCs w:val="21"/>
        </w:rPr>
        <w:t>, are viable and acceptable in relation to regulatory minimum capital requirements.</w:t>
      </w:r>
    </w:p>
    <w:p w14:paraId="4FF0FCA6" w14:textId="77777777" w:rsidR="0059431D" w:rsidRPr="0059431D" w:rsidRDefault="0059431D" w:rsidP="007E0B3C">
      <w:pPr>
        <w:shd w:val="clear" w:color="auto" w:fill="FFFFFF"/>
        <w:spacing w:before="158" w:after="158" w:line="240" w:lineRule="auto"/>
        <w:ind w:left="720"/>
        <w:textAlignment w:val="baseline"/>
        <w:rPr>
          <w:rFonts w:ascii="Arial" w:eastAsia="Times New Roman" w:hAnsi="Arial" w:cs="Arial"/>
          <w:sz w:val="21"/>
          <w:szCs w:val="21"/>
        </w:rPr>
      </w:pPr>
      <w:r w:rsidRPr="0059431D">
        <w:rPr>
          <w:rFonts w:ascii="Arial" w:eastAsia="Times New Roman" w:hAnsi="Arial" w:cs="Arial"/>
          <w:sz w:val="21"/>
          <w:szCs w:val="21"/>
        </w:rPr>
        <w:t>The assessment is performed on both qualitative and quantitative bases. The Federal Reserve may order banks to suspend their planned capital distributions to shareholders until the target capital balance is restored.</w:t>
      </w:r>
    </w:p>
    <w:p w14:paraId="6B195E1E" w14:textId="77777777" w:rsidR="0059431D" w:rsidRPr="0059431D" w:rsidRDefault="0059431D" w:rsidP="007E0B3C">
      <w:pPr>
        <w:shd w:val="clear" w:color="auto" w:fill="FFFFFF"/>
        <w:spacing w:before="360" w:after="240" w:line="240" w:lineRule="auto"/>
        <w:ind w:left="720"/>
        <w:textAlignment w:val="baseline"/>
        <w:outlineLvl w:val="2"/>
        <w:rPr>
          <w:rFonts w:ascii="Arial" w:eastAsia="Times New Roman" w:hAnsi="Arial" w:cs="Arial"/>
          <w:color w:val="000000"/>
          <w:sz w:val="27"/>
          <w:szCs w:val="27"/>
        </w:rPr>
      </w:pPr>
      <w:r w:rsidRPr="0059431D">
        <w:rPr>
          <w:rFonts w:ascii="Arial" w:eastAsia="Times New Roman" w:hAnsi="Arial" w:cs="Arial"/>
          <w:color w:val="000000"/>
          <w:sz w:val="27"/>
          <w:szCs w:val="27"/>
        </w:rPr>
        <w:t>Content</w:t>
      </w:r>
    </w:p>
    <w:p w14:paraId="473CA1BB" w14:textId="77777777" w:rsidR="0059431D" w:rsidRPr="0059431D" w:rsidRDefault="0059431D" w:rsidP="007E0B3C">
      <w:pPr>
        <w:shd w:val="clear" w:color="auto" w:fill="FFFFFF"/>
        <w:spacing w:before="158" w:after="158" w:line="240" w:lineRule="auto"/>
        <w:ind w:left="720"/>
        <w:textAlignment w:val="baseline"/>
        <w:rPr>
          <w:rFonts w:ascii="Arial" w:eastAsia="Times New Roman" w:hAnsi="Arial" w:cs="Arial"/>
          <w:sz w:val="21"/>
          <w:szCs w:val="21"/>
        </w:rPr>
      </w:pPr>
      <w:r w:rsidRPr="0059431D">
        <w:rPr>
          <w:rFonts w:ascii="Arial" w:eastAsia="Times New Roman" w:hAnsi="Arial" w:cs="Arial"/>
          <w:sz w:val="21"/>
          <w:szCs w:val="21"/>
        </w:rPr>
        <w:t>These datasets include data on the economic conditions in the United States on a quarterly basis since 1976 and projections from 2021 to 2024.</w:t>
      </w:r>
    </w:p>
    <w:p w14:paraId="7C154E15" w14:textId="77777777" w:rsidR="0059431D" w:rsidRPr="0059431D" w:rsidRDefault="0059431D" w:rsidP="007E0B3C">
      <w:pPr>
        <w:shd w:val="clear" w:color="auto" w:fill="FFFFFF"/>
        <w:spacing w:before="158" w:after="158" w:line="240" w:lineRule="auto"/>
        <w:ind w:left="720"/>
        <w:textAlignment w:val="baseline"/>
        <w:rPr>
          <w:rFonts w:ascii="Arial" w:eastAsia="Times New Roman" w:hAnsi="Arial" w:cs="Arial"/>
          <w:sz w:val="21"/>
          <w:szCs w:val="21"/>
        </w:rPr>
      </w:pPr>
      <w:r w:rsidRPr="0059431D">
        <w:rPr>
          <w:rFonts w:ascii="Arial" w:eastAsia="Times New Roman" w:hAnsi="Arial" w:cs="Arial"/>
          <w:sz w:val="21"/>
          <w:szCs w:val="21"/>
        </w:rPr>
        <w:t>Two CSV files represent historical data (domestic and international):</w:t>
      </w:r>
    </w:p>
    <w:p w14:paraId="586182F3" w14:textId="77777777" w:rsidR="0059431D" w:rsidRPr="0059431D" w:rsidRDefault="0059431D" w:rsidP="007E0B3C">
      <w:pPr>
        <w:numPr>
          <w:ilvl w:val="0"/>
          <w:numId w:val="3"/>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2021-historic-domestic.csv</w:t>
      </w:r>
    </w:p>
    <w:p w14:paraId="2FE97FEA" w14:textId="77777777" w:rsidR="0059431D" w:rsidRPr="0059431D" w:rsidRDefault="0059431D" w:rsidP="007E0B3C">
      <w:pPr>
        <w:numPr>
          <w:ilvl w:val="0"/>
          <w:numId w:val="3"/>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2021-historic-international.csv</w:t>
      </w:r>
    </w:p>
    <w:p w14:paraId="2BDD1378" w14:textId="77777777" w:rsidR="0059431D" w:rsidRPr="0059431D" w:rsidRDefault="0059431D" w:rsidP="007E0B3C">
      <w:pPr>
        <w:shd w:val="clear" w:color="auto" w:fill="FFFFFF"/>
        <w:spacing w:before="158" w:after="158" w:line="240" w:lineRule="auto"/>
        <w:ind w:left="720"/>
        <w:textAlignment w:val="baseline"/>
        <w:rPr>
          <w:rFonts w:ascii="Arial" w:eastAsia="Times New Roman" w:hAnsi="Arial" w:cs="Arial"/>
          <w:sz w:val="21"/>
          <w:szCs w:val="21"/>
        </w:rPr>
      </w:pPr>
      <w:r w:rsidRPr="0059431D">
        <w:rPr>
          <w:rFonts w:ascii="Arial" w:eastAsia="Times New Roman" w:hAnsi="Arial" w:cs="Arial"/>
          <w:sz w:val="21"/>
          <w:szCs w:val="21"/>
        </w:rPr>
        <w:t>Two CSV files represent projected baseline data (domestic and international):</w:t>
      </w:r>
    </w:p>
    <w:p w14:paraId="5B40A5CE" w14:textId="77777777" w:rsidR="0059431D" w:rsidRPr="0059431D" w:rsidRDefault="0059431D" w:rsidP="007E0B3C">
      <w:pPr>
        <w:numPr>
          <w:ilvl w:val="0"/>
          <w:numId w:val="4"/>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2021-supervisory-baseline-domestic.csv</w:t>
      </w:r>
    </w:p>
    <w:p w14:paraId="5A25A70D" w14:textId="77777777" w:rsidR="0059431D" w:rsidRPr="0059431D" w:rsidRDefault="0059431D" w:rsidP="007E0B3C">
      <w:pPr>
        <w:numPr>
          <w:ilvl w:val="0"/>
          <w:numId w:val="4"/>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2021-supervisory-baseline-international.csv</w:t>
      </w:r>
    </w:p>
    <w:p w14:paraId="7186880B" w14:textId="77777777" w:rsidR="0059431D" w:rsidRPr="0059431D" w:rsidRDefault="0059431D" w:rsidP="007E0B3C">
      <w:pPr>
        <w:shd w:val="clear" w:color="auto" w:fill="FFFFFF"/>
        <w:spacing w:before="158" w:after="158" w:line="240" w:lineRule="auto"/>
        <w:ind w:left="720"/>
        <w:textAlignment w:val="baseline"/>
        <w:rPr>
          <w:rFonts w:ascii="Arial" w:eastAsia="Times New Roman" w:hAnsi="Arial" w:cs="Arial"/>
          <w:sz w:val="21"/>
          <w:szCs w:val="21"/>
        </w:rPr>
      </w:pPr>
      <w:r w:rsidRPr="0059431D">
        <w:rPr>
          <w:rFonts w:ascii="Arial" w:eastAsia="Times New Roman" w:hAnsi="Arial" w:cs="Arial"/>
          <w:sz w:val="21"/>
          <w:szCs w:val="21"/>
        </w:rPr>
        <w:lastRenderedPageBreak/>
        <w:t>Two CSV files represent projected severely adverse data (domestic and international):</w:t>
      </w:r>
    </w:p>
    <w:p w14:paraId="511E0488" w14:textId="77777777" w:rsidR="0059431D" w:rsidRPr="0059431D" w:rsidRDefault="0059431D" w:rsidP="007E0B3C">
      <w:pPr>
        <w:numPr>
          <w:ilvl w:val="0"/>
          <w:numId w:val="5"/>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2021-supervisory-severely-adverse-domestic.csv</w:t>
      </w:r>
    </w:p>
    <w:p w14:paraId="07A0BD09" w14:textId="77777777" w:rsidR="0059431D" w:rsidRPr="0059431D" w:rsidRDefault="0059431D" w:rsidP="007E0B3C">
      <w:pPr>
        <w:numPr>
          <w:ilvl w:val="0"/>
          <w:numId w:val="5"/>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2021-supervisory-severely-adverse-international.csv</w:t>
      </w:r>
    </w:p>
    <w:p w14:paraId="3C80BDC3" w14:textId="77777777" w:rsidR="0059431D" w:rsidRPr="0059431D" w:rsidRDefault="0059431D" w:rsidP="007E0B3C">
      <w:pPr>
        <w:shd w:val="clear" w:color="auto" w:fill="FFFFFF"/>
        <w:spacing w:before="158" w:after="158" w:line="240" w:lineRule="auto"/>
        <w:ind w:left="720"/>
        <w:textAlignment w:val="baseline"/>
        <w:rPr>
          <w:rFonts w:ascii="Arial" w:eastAsia="Times New Roman" w:hAnsi="Arial" w:cs="Arial"/>
          <w:sz w:val="21"/>
          <w:szCs w:val="21"/>
        </w:rPr>
      </w:pPr>
      <w:r w:rsidRPr="0059431D">
        <w:rPr>
          <w:rFonts w:ascii="Arial" w:eastAsia="Times New Roman" w:hAnsi="Arial" w:cs="Arial"/>
          <w:sz w:val="21"/>
          <w:szCs w:val="21"/>
        </w:rPr>
        <w:t>Stress test severely adverse market shocks:</w:t>
      </w:r>
    </w:p>
    <w:p w14:paraId="31FCC439" w14:textId="77777777" w:rsidR="0059431D" w:rsidRPr="0059431D" w:rsidRDefault="0059431D" w:rsidP="007E0B3C">
      <w:pPr>
        <w:numPr>
          <w:ilvl w:val="0"/>
          <w:numId w:val="6"/>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2021-stress-test-severely-adverse-market-shocks.xlsx</w:t>
      </w:r>
    </w:p>
    <w:p w14:paraId="49008524" w14:textId="77777777" w:rsidR="0059431D" w:rsidRPr="0059431D" w:rsidRDefault="0059431D" w:rsidP="007E0B3C">
      <w:pPr>
        <w:shd w:val="clear" w:color="auto" w:fill="FFFFFF"/>
        <w:spacing w:before="360" w:after="240" w:line="240" w:lineRule="auto"/>
        <w:ind w:left="720"/>
        <w:textAlignment w:val="baseline"/>
        <w:outlineLvl w:val="2"/>
        <w:rPr>
          <w:rFonts w:ascii="Arial" w:eastAsia="Times New Roman" w:hAnsi="Arial" w:cs="Arial"/>
          <w:color w:val="000000"/>
          <w:sz w:val="27"/>
          <w:szCs w:val="27"/>
        </w:rPr>
      </w:pPr>
      <w:r w:rsidRPr="0059431D">
        <w:rPr>
          <w:rFonts w:ascii="Arial" w:eastAsia="Times New Roman" w:hAnsi="Arial" w:cs="Arial"/>
          <w:color w:val="000000"/>
          <w:sz w:val="27"/>
          <w:szCs w:val="27"/>
        </w:rPr>
        <w:t>Columns Description</w:t>
      </w:r>
    </w:p>
    <w:p w14:paraId="34008607" w14:textId="77777777" w:rsidR="0059431D" w:rsidRPr="0059431D" w:rsidRDefault="0059431D" w:rsidP="007E0B3C">
      <w:pPr>
        <w:shd w:val="clear" w:color="auto" w:fill="FFFFFF"/>
        <w:spacing w:after="0" w:line="240" w:lineRule="auto"/>
        <w:ind w:left="720"/>
        <w:textAlignment w:val="baseline"/>
        <w:rPr>
          <w:rFonts w:ascii="Arial" w:eastAsia="Times New Roman" w:hAnsi="Arial" w:cs="Arial"/>
          <w:sz w:val="21"/>
          <w:szCs w:val="21"/>
        </w:rPr>
      </w:pPr>
      <w:r w:rsidRPr="0059431D">
        <w:rPr>
          <w:rFonts w:ascii="inherit" w:eastAsia="Times New Roman" w:hAnsi="inherit" w:cs="Arial"/>
          <w:sz w:val="21"/>
          <w:szCs w:val="21"/>
          <w:bdr w:val="none" w:sz="0" w:space="0" w:color="auto" w:frame="1"/>
        </w:rPr>
        <w:t>The Domestic data files contain the following columns:</w:t>
      </w:r>
    </w:p>
    <w:p w14:paraId="13228D1E" w14:textId="77777777" w:rsidR="0059431D" w:rsidRPr="0059431D" w:rsidRDefault="0059431D" w:rsidP="007E0B3C">
      <w:pPr>
        <w:numPr>
          <w:ilvl w:val="0"/>
          <w:numId w:val="7"/>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Scenario Name</w:t>
      </w:r>
    </w:p>
    <w:p w14:paraId="2F8C71D2" w14:textId="77777777" w:rsidR="0059431D" w:rsidRPr="0059431D" w:rsidRDefault="0059431D" w:rsidP="007E0B3C">
      <w:pPr>
        <w:numPr>
          <w:ilvl w:val="0"/>
          <w:numId w:val="7"/>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Date</w:t>
      </w:r>
    </w:p>
    <w:p w14:paraId="39F7486D" w14:textId="77777777" w:rsidR="0059431D" w:rsidRPr="0059431D" w:rsidRDefault="0059431D" w:rsidP="007E0B3C">
      <w:pPr>
        <w:numPr>
          <w:ilvl w:val="0"/>
          <w:numId w:val="7"/>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Real GDP growth</w:t>
      </w:r>
    </w:p>
    <w:p w14:paraId="5EA24DD8" w14:textId="77777777" w:rsidR="0059431D" w:rsidRPr="0059431D" w:rsidRDefault="0059431D" w:rsidP="007E0B3C">
      <w:pPr>
        <w:numPr>
          <w:ilvl w:val="0"/>
          <w:numId w:val="7"/>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Nominal GDP growth</w:t>
      </w:r>
    </w:p>
    <w:p w14:paraId="139145EB" w14:textId="77777777" w:rsidR="0059431D" w:rsidRPr="0059431D" w:rsidRDefault="0059431D" w:rsidP="007E0B3C">
      <w:pPr>
        <w:numPr>
          <w:ilvl w:val="0"/>
          <w:numId w:val="7"/>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Real disposable income growth</w:t>
      </w:r>
    </w:p>
    <w:p w14:paraId="4733F1CE" w14:textId="77777777" w:rsidR="0059431D" w:rsidRPr="0059431D" w:rsidRDefault="0059431D" w:rsidP="007E0B3C">
      <w:pPr>
        <w:numPr>
          <w:ilvl w:val="0"/>
          <w:numId w:val="7"/>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Nominal disposable income growth</w:t>
      </w:r>
    </w:p>
    <w:p w14:paraId="2ED056D6" w14:textId="77777777" w:rsidR="0059431D" w:rsidRPr="0059431D" w:rsidRDefault="0059431D" w:rsidP="007E0B3C">
      <w:pPr>
        <w:numPr>
          <w:ilvl w:val="0"/>
          <w:numId w:val="7"/>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Unemployment rate</w:t>
      </w:r>
    </w:p>
    <w:p w14:paraId="09A011E8" w14:textId="77777777" w:rsidR="0059431D" w:rsidRPr="0059431D" w:rsidRDefault="0059431D" w:rsidP="007E0B3C">
      <w:pPr>
        <w:numPr>
          <w:ilvl w:val="0"/>
          <w:numId w:val="7"/>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CPI inflation rate</w:t>
      </w:r>
    </w:p>
    <w:p w14:paraId="5CDBB3AB" w14:textId="77777777" w:rsidR="0059431D" w:rsidRPr="0059431D" w:rsidRDefault="0059431D" w:rsidP="007E0B3C">
      <w:pPr>
        <w:numPr>
          <w:ilvl w:val="0"/>
          <w:numId w:val="7"/>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3-month Treasury rate</w:t>
      </w:r>
    </w:p>
    <w:p w14:paraId="73887E69" w14:textId="77777777" w:rsidR="0059431D" w:rsidRPr="0059431D" w:rsidRDefault="0059431D" w:rsidP="007E0B3C">
      <w:pPr>
        <w:numPr>
          <w:ilvl w:val="0"/>
          <w:numId w:val="7"/>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5-year Treasury yield</w:t>
      </w:r>
    </w:p>
    <w:p w14:paraId="5666736F" w14:textId="77777777" w:rsidR="0059431D" w:rsidRPr="0059431D" w:rsidRDefault="0059431D" w:rsidP="007E0B3C">
      <w:pPr>
        <w:numPr>
          <w:ilvl w:val="0"/>
          <w:numId w:val="7"/>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10-year Treasury yield</w:t>
      </w:r>
    </w:p>
    <w:p w14:paraId="33675BBE" w14:textId="77777777" w:rsidR="0059431D" w:rsidRPr="0059431D" w:rsidRDefault="0059431D" w:rsidP="007E0B3C">
      <w:pPr>
        <w:numPr>
          <w:ilvl w:val="0"/>
          <w:numId w:val="7"/>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BBB corporate yield</w:t>
      </w:r>
    </w:p>
    <w:p w14:paraId="1F374983" w14:textId="77777777" w:rsidR="0059431D" w:rsidRPr="0059431D" w:rsidRDefault="0059431D" w:rsidP="007E0B3C">
      <w:pPr>
        <w:numPr>
          <w:ilvl w:val="0"/>
          <w:numId w:val="7"/>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Mortgage rate</w:t>
      </w:r>
    </w:p>
    <w:p w14:paraId="270BF6FD" w14:textId="77777777" w:rsidR="0059431D" w:rsidRPr="0059431D" w:rsidRDefault="0059431D" w:rsidP="007E0B3C">
      <w:pPr>
        <w:numPr>
          <w:ilvl w:val="0"/>
          <w:numId w:val="7"/>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Prime rate</w:t>
      </w:r>
    </w:p>
    <w:p w14:paraId="110F1DEE" w14:textId="77777777" w:rsidR="0059431D" w:rsidRPr="0059431D" w:rsidRDefault="0059431D" w:rsidP="007E0B3C">
      <w:pPr>
        <w:numPr>
          <w:ilvl w:val="0"/>
          <w:numId w:val="7"/>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Dow Jones Total Stock Market Index (Level)</w:t>
      </w:r>
    </w:p>
    <w:p w14:paraId="0BFBFB05" w14:textId="77777777" w:rsidR="0059431D" w:rsidRPr="0059431D" w:rsidRDefault="0059431D" w:rsidP="007E0B3C">
      <w:pPr>
        <w:numPr>
          <w:ilvl w:val="0"/>
          <w:numId w:val="7"/>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House Price Index (Level)</w:t>
      </w:r>
    </w:p>
    <w:p w14:paraId="5CD9B433" w14:textId="77777777" w:rsidR="0059431D" w:rsidRPr="0059431D" w:rsidRDefault="0059431D" w:rsidP="007E0B3C">
      <w:pPr>
        <w:numPr>
          <w:ilvl w:val="0"/>
          <w:numId w:val="7"/>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Commercial Real Estate Price Index (Level)</w:t>
      </w:r>
    </w:p>
    <w:p w14:paraId="26E2EA03" w14:textId="77777777" w:rsidR="0059431D" w:rsidRPr="0059431D" w:rsidRDefault="0059431D" w:rsidP="007E0B3C">
      <w:pPr>
        <w:numPr>
          <w:ilvl w:val="0"/>
          <w:numId w:val="7"/>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Market Volatility Index (Level)</w:t>
      </w:r>
    </w:p>
    <w:p w14:paraId="6A3834A0" w14:textId="77777777" w:rsidR="0059431D" w:rsidRPr="0059431D" w:rsidRDefault="0059431D" w:rsidP="007E0B3C">
      <w:pPr>
        <w:shd w:val="clear" w:color="auto" w:fill="FFFFFF"/>
        <w:spacing w:after="0" w:line="240" w:lineRule="auto"/>
        <w:ind w:left="720"/>
        <w:textAlignment w:val="baseline"/>
        <w:rPr>
          <w:rFonts w:ascii="Arial" w:eastAsia="Times New Roman" w:hAnsi="Arial" w:cs="Arial"/>
          <w:sz w:val="21"/>
          <w:szCs w:val="21"/>
        </w:rPr>
      </w:pPr>
      <w:r w:rsidRPr="0059431D">
        <w:rPr>
          <w:rFonts w:ascii="inherit" w:eastAsia="Times New Roman" w:hAnsi="inherit" w:cs="Arial"/>
          <w:sz w:val="21"/>
          <w:szCs w:val="21"/>
          <w:bdr w:val="none" w:sz="0" w:space="0" w:color="auto" w:frame="1"/>
        </w:rPr>
        <w:t>The International data files contain the following columns:</w:t>
      </w:r>
    </w:p>
    <w:p w14:paraId="0947DF88" w14:textId="77777777" w:rsidR="0059431D" w:rsidRPr="0059431D" w:rsidRDefault="0059431D" w:rsidP="007E0B3C">
      <w:pPr>
        <w:numPr>
          <w:ilvl w:val="0"/>
          <w:numId w:val="8"/>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Date</w:t>
      </w:r>
    </w:p>
    <w:p w14:paraId="25570C1F" w14:textId="77777777" w:rsidR="0059431D" w:rsidRPr="0059431D" w:rsidRDefault="0059431D" w:rsidP="007E0B3C">
      <w:pPr>
        <w:numPr>
          <w:ilvl w:val="0"/>
          <w:numId w:val="8"/>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Euro area real GDP growth</w:t>
      </w:r>
    </w:p>
    <w:p w14:paraId="1778BF15" w14:textId="77777777" w:rsidR="0059431D" w:rsidRPr="0059431D" w:rsidRDefault="0059431D" w:rsidP="007E0B3C">
      <w:pPr>
        <w:numPr>
          <w:ilvl w:val="0"/>
          <w:numId w:val="8"/>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Euro area inflation</w:t>
      </w:r>
    </w:p>
    <w:p w14:paraId="0E47367D" w14:textId="77777777" w:rsidR="0059431D" w:rsidRPr="0059431D" w:rsidRDefault="0059431D" w:rsidP="007E0B3C">
      <w:pPr>
        <w:numPr>
          <w:ilvl w:val="0"/>
          <w:numId w:val="8"/>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Euro area bilateral dollar exchange rate (USD/euro)</w:t>
      </w:r>
    </w:p>
    <w:p w14:paraId="5D02132E" w14:textId="77777777" w:rsidR="0059431D" w:rsidRPr="0059431D" w:rsidRDefault="0059431D" w:rsidP="007E0B3C">
      <w:pPr>
        <w:numPr>
          <w:ilvl w:val="0"/>
          <w:numId w:val="8"/>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Developing Asia real GDP growth</w:t>
      </w:r>
    </w:p>
    <w:p w14:paraId="33A6A746" w14:textId="77777777" w:rsidR="0059431D" w:rsidRPr="0059431D" w:rsidRDefault="0059431D" w:rsidP="007E0B3C">
      <w:pPr>
        <w:numPr>
          <w:ilvl w:val="0"/>
          <w:numId w:val="8"/>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Developing Asia inflation</w:t>
      </w:r>
    </w:p>
    <w:p w14:paraId="1B6C00EC" w14:textId="77777777" w:rsidR="0059431D" w:rsidRPr="0059431D" w:rsidRDefault="0059431D" w:rsidP="007E0B3C">
      <w:pPr>
        <w:numPr>
          <w:ilvl w:val="0"/>
          <w:numId w:val="8"/>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Developing Asia bilateral dollar exchange rate (F/USD, index)</w:t>
      </w:r>
    </w:p>
    <w:p w14:paraId="196C2512" w14:textId="77777777" w:rsidR="0059431D" w:rsidRPr="0059431D" w:rsidRDefault="0059431D" w:rsidP="007E0B3C">
      <w:pPr>
        <w:numPr>
          <w:ilvl w:val="0"/>
          <w:numId w:val="8"/>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Japan real GDP growth</w:t>
      </w:r>
    </w:p>
    <w:p w14:paraId="64D6D404" w14:textId="77777777" w:rsidR="0059431D" w:rsidRPr="0059431D" w:rsidRDefault="0059431D" w:rsidP="007E0B3C">
      <w:pPr>
        <w:numPr>
          <w:ilvl w:val="0"/>
          <w:numId w:val="8"/>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Japan inflation</w:t>
      </w:r>
    </w:p>
    <w:p w14:paraId="20908B4D" w14:textId="77777777" w:rsidR="0059431D" w:rsidRPr="0059431D" w:rsidRDefault="0059431D" w:rsidP="007E0B3C">
      <w:pPr>
        <w:numPr>
          <w:ilvl w:val="0"/>
          <w:numId w:val="8"/>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Japan bilateral dollar exchange rate (yen/USD)</w:t>
      </w:r>
    </w:p>
    <w:p w14:paraId="643CC763" w14:textId="77777777" w:rsidR="0059431D" w:rsidRPr="0059431D" w:rsidRDefault="0059431D" w:rsidP="007E0B3C">
      <w:pPr>
        <w:numPr>
          <w:ilvl w:val="0"/>
          <w:numId w:val="8"/>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U.K. real GDP growth</w:t>
      </w:r>
    </w:p>
    <w:p w14:paraId="0ABA0692" w14:textId="77777777" w:rsidR="0059431D" w:rsidRPr="0059431D" w:rsidRDefault="0059431D" w:rsidP="007E0B3C">
      <w:pPr>
        <w:numPr>
          <w:ilvl w:val="0"/>
          <w:numId w:val="8"/>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U.K. inflation</w:t>
      </w:r>
    </w:p>
    <w:p w14:paraId="1D9ACE35" w14:textId="77777777" w:rsidR="0059431D" w:rsidRPr="0059431D" w:rsidRDefault="0059431D" w:rsidP="007E0B3C">
      <w:pPr>
        <w:numPr>
          <w:ilvl w:val="0"/>
          <w:numId w:val="8"/>
        </w:numPr>
        <w:shd w:val="clear" w:color="auto" w:fill="FFFFFF"/>
        <w:tabs>
          <w:tab w:val="clear" w:pos="720"/>
          <w:tab w:val="num" w:pos="1440"/>
        </w:tabs>
        <w:spacing w:after="0" w:line="240" w:lineRule="auto"/>
        <w:ind w:left="1440"/>
        <w:textAlignment w:val="baseline"/>
        <w:rPr>
          <w:rFonts w:ascii="Arial" w:eastAsia="Times New Roman" w:hAnsi="Arial" w:cs="Arial"/>
          <w:sz w:val="21"/>
          <w:szCs w:val="21"/>
        </w:rPr>
      </w:pPr>
      <w:r w:rsidRPr="0059431D">
        <w:rPr>
          <w:rFonts w:ascii="Consolas" w:eastAsia="Times New Roman" w:hAnsi="Consolas" w:cs="Courier New"/>
          <w:sz w:val="20"/>
          <w:szCs w:val="20"/>
          <w:bdr w:val="none" w:sz="0" w:space="0" w:color="auto" w:frame="1"/>
          <w:shd w:val="clear" w:color="auto" w:fill="F4F4F4"/>
        </w:rPr>
        <w:t>U.K. bilateral dollar exchange rate (USD/pound)</w:t>
      </w:r>
    </w:p>
    <w:p w14:paraId="56E57F73" w14:textId="77777777" w:rsidR="0059431D" w:rsidRPr="0059431D" w:rsidRDefault="0059431D" w:rsidP="007E0B3C">
      <w:pPr>
        <w:shd w:val="clear" w:color="auto" w:fill="FFFFFF"/>
        <w:spacing w:before="360" w:after="240" w:line="240" w:lineRule="auto"/>
        <w:ind w:left="720"/>
        <w:textAlignment w:val="baseline"/>
        <w:outlineLvl w:val="2"/>
        <w:rPr>
          <w:rFonts w:ascii="Arial" w:eastAsia="Times New Roman" w:hAnsi="Arial" w:cs="Arial"/>
          <w:color w:val="000000"/>
          <w:sz w:val="27"/>
          <w:szCs w:val="27"/>
        </w:rPr>
      </w:pPr>
      <w:r w:rsidRPr="0059431D">
        <w:rPr>
          <w:rFonts w:ascii="Arial" w:eastAsia="Times New Roman" w:hAnsi="Arial" w:cs="Arial"/>
          <w:color w:val="000000"/>
          <w:sz w:val="27"/>
          <w:szCs w:val="27"/>
        </w:rPr>
        <w:t>Acknowledgements</w:t>
      </w:r>
    </w:p>
    <w:p w14:paraId="3D574175" w14:textId="77777777" w:rsidR="0059431D" w:rsidRPr="0059431D" w:rsidRDefault="0059431D" w:rsidP="007E0B3C">
      <w:pPr>
        <w:shd w:val="clear" w:color="auto" w:fill="FFFFFF"/>
        <w:spacing w:after="0" w:line="240" w:lineRule="auto"/>
        <w:ind w:left="720"/>
        <w:textAlignment w:val="baseline"/>
        <w:rPr>
          <w:rFonts w:ascii="Arial" w:eastAsia="Times New Roman" w:hAnsi="Arial" w:cs="Arial"/>
          <w:sz w:val="21"/>
          <w:szCs w:val="21"/>
        </w:rPr>
      </w:pPr>
      <w:r w:rsidRPr="0059431D">
        <w:rPr>
          <w:rFonts w:ascii="Arial" w:eastAsia="Times New Roman" w:hAnsi="Arial" w:cs="Arial"/>
          <w:sz w:val="21"/>
          <w:szCs w:val="21"/>
        </w:rPr>
        <w:t>Thanks to the </w:t>
      </w:r>
      <w:hyperlink r:id="rId5" w:history="1">
        <w:r w:rsidRPr="0059431D">
          <w:rPr>
            <w:rFonts w:ascii="Arial" w:eastAsia="Times New Roman" w:hAnsi="Arial" w:cs="Arial"/>
            <w:color w:val="008ABC"/>
            <w:sz w:val="21"/>
            <w:szCs w:val="21"/>
            <w:u w:val="single"/>
            <w:bdr w:val="none" w:sz="0" w:space="0" w:color="auto" w:frame="1"/>
          </w:rPr>
          <w:t>Federal Reserve System</w:t>
        </w:r>
      </w:hyperlink>
      <w:r w:rsidRPr="0059431D">
        <w:rPr>
          <w:rFonts w:ascii="Arial" w:eastAsia="Times New Roman" w:hAnsi="Arial" w:cs="Arial"/>
          <w:sz w:val="21"/>
          <w:szCs w:val="21"/>
        </w:rPr>
        <w:t>, the US Bureau of Economic Analysis and the US Bureau of Labor Statistics for making the data available to the general public.</w:t>
      </w:r>
    </w:p>
    <w:p w14:paraId="7D47DE58" w14:textId="189EBAC7" w:rsidR="0059431D" w:rsidRDefault="0059431D"/>
    <w:p w14:paraId="1C703225" w14:textId="026BBC94" w:rsidR="007E0B3C" w:rsidRPr="00161138" w:rsidRDefault="007E0B3C">
      <w:pPr>
        <w:rPr>
          <w:sz w:val="32"/>
          <w:szCs w:val="32"/>
        </w:rPr>
      </w:pPr>
      <w:r w:rsidRPr="00161138">
        <w:rPr>
          <w:sz w:val="32"/>
          <w:szCs w:val="32"/>
        </w:rPr>
        <w:lastRenderedPageBreak/>
        <w:t>M2 Money Supply Data</w:t>
      </w:r>
    </w:p>
    <w:p w14:paraId="7A2E25BF" w14:textId="51B57B9D" w:rsidR="007E0B3C" w:rsidRDefault="00432915" w:rsidP="007E0B3C">
      <w:pPr>
        <w:ind w:left="720"/>
      </w:pPr>
      <w:hyperlink r:id="rId6" w:history="1">
        <w:r w:rsidR="007E0B3C" w:rsidRPr="00576DB5">
          <w:rPr>
            <w:rStyle w:val="Hyperlink"/>
          </w:rPr>
          <w:t>https://fred.stlouisfed.org/series/M2SL</w:t>
        </w:r>
      </w:hyperlink>
    </w:p>
    <w:p w14:paraId="62BBB141" w14:textId="77777777" w:rsidR="007E0B3C" w:rsidRDefault="007E0B3C" w:rsidP="007E0B3C">
      <w:pPr>
        <w:pStyle w:val="col-xs-12col-md-6"/>
        <w:shd w:val="clear" w:color="auto" w:fill="FFFFFF"/>
        <w:spacing w:before="0" w:beforeAutospacing="0" w:after="150" w:afterAutospacing="0"/>
        <w:ind w:left="720"/>
        <w:rPr>
          <w:rFonts w:ascii="Lucida Sans" w:hAnsi="Lucida Sans"/>
          <w:color w:val="333333"/>
          <w:sz w:val="18"/>
          <w:szCs w:val="18"/>
        </w:rPr>
      </w:pPr>
      <w:r>
        <w:rPr>
          <w:rStyle w:val="Strong"/>
          <w:rFonts w:ascii="Lucida Sans" w:hAnsi="Lucida Sans"/>
          <w:color w:val="333333"/>
          <w:sz w:val="18"/>
          <w:szCs w:val="18"/>
        </w:rPr>
        <w:t>Source:</w:t>
      </w:r>
      <w:r>
        <w:rPr>
          <w:rFonts w:ascii="Lucida Sans" w:hAnsi="Lucida Sans"/>
          <w:color w:val="333333"/>
          <w:sz w:val="18"/>
          <w:szCs w:val="18"/>
        </w:rPr>
        <w:t> </w:t>
      </w:r>
      <w:hyperlink r:id="rId7" w:tgtFrame="_blank" w:history="1">
        <w:r>
          <w:rPr>
            <w:rStyle w:val="Hyperlink"/>
            <w:rFonts w:ascii="Lucida Sans" w:hAnsi="Lucida Sans"/>
            <w:color w:val="39619A"/>
            <w:sz w:val="18"/>
            <w:szCs w:val="18"/>
          </w:rPr>
          <w:t>Board of Governors of the Federal Reserve System (US) </w:t>
        </w:r>
      </w:hyperlink>
      <w:r>
        <w:rPr>
          <w:rFonts w:ascii="Lucida Sans" w:hAnsi="Lucida Sans"/>
          <w:color w:val="333333"/>
          <w:sz w:val="18"/>
          <w:szCs w:val="18"/>
        </w:rPr>
        <w:t> </w:t>
      </w:r>
    </w:p>
    <w:p w14:paraId="558BFF5A" w14:textId="77777777" w:rsidR="007E0B3C" w:rsidRDefault="007E0B3C" w:rsidP="007E0B3C">
      <w:pPr>
        <w:pStyle w:val="col-xs-12col-md-6"/>
        <w:shd w:val="clear" w:color="auto" w:fill="FFFFFF"/>
        <w:spacing w:before="0" w:beforeAutospacing="0" w:after="150" w:afterAutospacing="0"/>
        <w:ind w:left="720"/>
        <w:rPr>
          <w:rFonts w:ascii="Lucida Sans" w:hAnsi="Lucida Sans"/>
          <w:color w:val="333333"/>
          <w:sz w:val="18"/>
          <w:szCs w:val="18"/>
        </w:rPr>
      </w:pPr>
      <w:r>
        <w:rPr>
          <w:rStyle w:val="Strong"/>
          <w:rFonts w:ascii="Lucida Sans" w:hAnsi="Lucida Sans"/>
          <w:color w:val="333333"/>
          <w:sz w:val="18"/>
          <w:szCs w:val="18"/>
        </w:rPr>
        <w:t>Release:</w:t>
      </w:r>
      <w:r>
        <w:rPr>
          <w:rFonts w:ascii="Lucida Sans" w:hAnsi="Lucida Sans"/>
          <w:color w:val="333333"/>
          <w:sz w:val="18"/>
          <w:szCs w:val="18"/>
        </w:rPr>
        <w:t> </w:t>
      </w:r>
      <w:hyperlink r:id="rId8" w:tgtFrame="_blank" w:history="1">
        <w:r>
          <w:rPr>
            <w:rStyle w:val="Hyperlink"/>
            <w:rFonts w:ascii="Lucida Sans" w:hAnsi="Lucida Sans"/>
            <w:color w:val="39619A"/>
            <w:sz w:val="18"/>
            <w:szCs w:val="18"/>
          </w:rPr>
          <w:t>H.6 Money Stock Measures </w:t>
        </w:r>
      </w:hyperlink>
      <w:r>
        <w:rPr>
          <w:rFonts w:ascii="Lucida Sans" w:hAnsi="Lucida Sans"/>
          <w:color w:val="333333"/>
          <w:sz w:val="18"/>
          <w:szCs w:val="18"/>
        </w:rPr>
        <w:t> </w:t>
      </w:r>
    </w:p>
    <w:p w14:paraId="76CFF962" w14:textId="77777777" w:rsidR="007E0B3C" w:rsidRDefault="007E0B3C" w:rsidP="007E0B3C">
      <w:pPr>
        <w:pStyle w:val="col-xs-12pull-left"/>
        <w:shd w:val="clear" w:color="auto" w:fill="FFFFFF"/>
        <w:spacing w:before="0" w:beforeAutospacing="0" w:after="150" w:afterAutospacing="0"/>
        <w:ind w:left="720"/>
        <w:rPr>
          <w:rFonts w:ascii="Lucida Sans" w:hAnsi="Lucida Sans"/>
          <w:color w:val="333333"/>
          <w:sz w:val="18"/>
          <w:szCs w:val="18"/>
        </w:rPr>
      </w:pPr>
      <w:r>
        <w:rPr>
          <w:rStyle w:val="Strong"/>
          <w:rFonts w:ascii="Lucida Sans" w:hAnsi="Lucida Sans"/>
          <w:color w:val="333333"/>
          <w:sz w:val="18"/>
          <w:szCs w:val="18"/>
        </w:rPr>
        <w:t>Units:</w:t>
      </w:r>
      <w:r>
        <w:rPr>
          <w:rFonts w:ascii="Lucida Sans" w:hAnsi="Lucida Sans"/>
          <w:color w:val="333333"/>
          <w:sz w:val="18"/>
          <w:szCs w:val="18"/>
        </w:rPr>
        <w:t>  </w:t>
      </w:r>
      <w:r>
        <w:rPr>
          <w:rStyle w:val="series-meta-value-units"/>
          <w:rFonts w:ascii="Lucida Sans" w:hAnsi="Lucida Sans"/>
          <w:color w:val="666666"/>
          <w:sz w:val="18"/>
          <w:szCs w:val="18"/>
        </w:rPr>
        <w:t>Billions of Dollars</w:t>
      </w:r>
      <w:r>
        <w:rPr>
          <w:rStyle w:val="series-meta-value"/>
          <w:rFonts w:ascii="Lucida Sans" w:eastAsiaTheme="majorEastAsia" w:hAnsi="Lucida Sans"/>
          <w:color w:val="666666"/>
          <w:sz w:val="18"/>
          <w:szCs w:val="18"/>
        </w:rPr>
        <w:t>, Seasonally Adjusted</w:t>
      </w:r>
    </w:p>
    <w:p w14:paraId="239F0EB4" w14:textId="77777777" w:rsidR="007E0B3C" w:rsidRDefault="007E0B3C" w:rsidP="007E0B3C">
      <w:pPr>
        <w:pStyle w:val="col-xs-12pull-left"/>
        <w:shd w:val="clear" w:color="auto" w:fill="FFFFFF"/>
        <w:spacing w:before="0" w:beforeAutospacing="0" w:after="150" w:afterAutospacing="0"/>
        <w:ind w:left="720"/>
        <w:rPr>
          <w:rFonts w:ascii="Lucida Sans" w:hAnsi="Lucida Sans"/>
          <w:color w:val="333333"/>
          <w:sz w:val="18"/>
          <w:szCs w:val="18"/>
        </w:rPr>
      </w:pPr>
      <w:r>
        <w:rPr>
          <w:rStyle w:val="Strong"/>
          <w:rFonts w:ascii="Lucida Sans" w:hAnsi="Lucida Sans"/>
          <w:color w:val="333333"/>
          <w:sz w:val="18"/>
          <w:szCs w:val="18"/>
        </w:rPr>
        <w:t>Frequency:</w:t>
      </w:r>
      <w:r>
        <w:rPr>
          <w:rFonts w:ascii="Lucida Sans" w:hAnsi="Lucida Sans"/>
          <w:color w:val="333333"/>
          <w:sz w:val="18"/>
          <w:szCs w:val="18"/>
        </w:rPr>
        <w:t>  </w:t>
      </w:r>
      <w:r>
        <w:rPr>
          <w:rStyle w:val="series-meta-value-frequency"/>
          <w:rFonts w:ascii="Lucida Sans" w:hAnsi="Lucida Sans"/>
          <w:color w:val="666666"/>
          <w:sz w:val="18"/>
          <w:szCs w:val="18"/>
        </w:rPr>
        <w:t>Monthly</w:t>
      </w:r>
    </w:p>
    <w:p w14:paraId="2803CAA9" w14:textId="77777777" w:rsidR="007E0B3C" w:rsidRDefault="007E0B3C" w:rsidP="007E0B3C">
      <w:pPr>
        <w:pStyle w:val="series-notes"/>
        <w:shd w:val="clear" w:color="auto" w:fill="FFFFFF"/>
        <w:spacing w:before="0" w:beforeAutospacing="0" w:after="150" w:afterAutospacing="0"/>
        <w:ind w:left="720"/>
        <w:rPr>
          <w:rFonts w:ascii="Lucida Sans" w:hAnsi="Lucida Sans"/>
          <w:color w:val="333333"/>
          <w:sz w:val="18"/>
          <w:szCs w:val="18"/>
        </w:rPr>
      </w:pPr>
      <w:r>
        <w:rPr>
          <w:rFonts w:ascii="Lucida Sans" w:hAnsi="Lucida Sans"/>
          <w:color w:val="333333"/>
          <w:sz w:val="18"/>
          <w:szCs w:val="18"/>
        </w:rPr>
        <w:t>Before May 2020, M2 consists of M1 plus (1) savings deposits (including money market deposit accounts); (2) small-denomination time deposits (time deposits in amounts of less than $100,000) less individual retirement account (IRA) and Keogh balances at depository institutions; and (3) balances in retail money market funds (MMFs) less IRA and Keogh balances at MMFs.</w:t>
      </w:r>
      <w:r>
        <w:rPr>
          <w:rFonts w:ascii="Lucida Sans" w:hAnsi="Lucida Sans"/>
          <w:color w:val="333333"/>
          <w:sz w:val="18"/>
          <w:szCs w:val="18"/>
        </w:rPr>
        <w:br/>
      </w:r>
      <w:r>
        <w:rPr>
          <w:rFonts w:ascii="Lucida Sans" w:hAnsi="Lucida Sans"/>
          <w:color w:val="333333"/>
          <w:sz w:val="18"/>
          <w:szCs w:val="18"/>
        </w:rPr>
        <w:br/>
        <w:t>Beginning May 2020, M2 consists of M1 plus (1) small-denomination time deposits (time deposits in amounts of less than $100,000) less IRA and Keogh balances at depository institutions; and (2) balances in retail MMFs less IRA and Keogh balances at MMFs. Seasonally adjusted M2 is constructed by summing savings deposits (before May 2020), small-denomination time deposits, and retail MMFs, each seasonally adjusted separately, and adding this result to seasonally adjusted M1.</w:t>
      </w:r>
      <w:r>
        <w:rPr>
          <w:rFonts w:ascii="Lucida Sans" w:hAnsi="Lucida Sans"/>
          <w:color w:val="333333"/>
          <w:sz w:val="18"/>
          <w:szCs w:val="18"/>
        </w:rPr>
        <w:br/>
      </w:r>
      <w:r>
        <w:rPr>
          <w:rFonts w:ascii="Lucida Sans" w:hAnsi="Lucida Sans"/>
          <w:color w:val="333333"/>
          <w:sz w:val="18"/>
          <w:szCs w:val="18"/>
        </w:rPr>
        <w:br/>
        <w:t>For more information on the H.6 release changes and the regulatory amendment that led to the creation of the other liquid deposits component and its inclusion in the M1 monetary aggregate, see the H.6 </w:t>
      </w:r>
      <w:hyperlink r:id="rId9" w:history="1">
        <w:r>
          <w:rPr>
            <w:rStyle w:val="Hyperlink"/>
            <w:rFonts w:ascii="Lucida Sans" w:hAnsi="Lucida Sans"/>
            <w:color w:val="39619A"/>
            <w:sz w:val="18"/>
            <w:szCs w:val="18"/>
          </w:rPr>
          <w:t>announcements</w:t>
        </w:r>
      </w:hyperlink>
      <w:r>
        <w:rPr>
          <w:rFonts w:ascii="Lucida Sans" w:hAnsi="Lucida Sans"/>
          <w:color w:val="333333"/>
          <w:sz w:val="18"/>
          <w:szCs w:val="18"/>
        </w:rPr>
        <w:t> and </w:t>
      </w:r>
      <w:hyperlink r:id="rId10" w:history="1">
        <w:r>
          <w:rPr>
            <w:rStyle w:val="Hyperlink"/>
            <w:rFonts w:ascii="Lucida Sans" w:hAnsi="Lucida Sans"/>
            <w:color w:val="39619A"/>
            <w:sz w:val="18"/>
            <w:szCs w:val="18"/>
          </w:rPr>
          <w:t>Technical Q&amp;As</w:t>
        </w:r>
      </w:hyperlink>
      <w:r>
        <w:rPr>
          <w:rFonts w:ascii="Lucida Sans" w:hAnsi="Lucida Sans"/>
          <w:color w:val="333333"/>
          <w:sz w:val="18"/>
          <w:szCs w:val="18"/>
        </w:rPr>
        <w:t> posted on December 17, 2020.</w:t>
      </w:r>
    </w:p>
    <w:p w14:paraId="348282DF" w14:textId="77777777" w:rsidR="007E0B3C" w:rsidRDefault="007E0B3C" w:rsidP="007E0B3C">
      <w:pPr>
        <w:pStyle w:val="Heading4"/>
        <w:shd w:val="clear" w:color="auto" w:fill="FFFFFF"/>
        <w:spacing w:before="0"/>
        <w:ind w:left="720"/>
        <w:rPr>
          <w:rFonts w:ascii="inherit" w:hAnsi="inherit"/>
          <w:color w:val="333333"/>
          <w:sz w:val="18"/>
          <w:szCs w:val="18"/>
        </w:rPr>
      </w:pPr>
      <w:r>
        <w:rPr>
          <w:rFonts w:ascii="inherit" w:hAnsi="inherit"/>
          <w:color w:val="333333"/>
          <w:sz w:val="18"/>
          <w:szCs w:val="18"/>
        </w:rPr>
        <w:t>Suggested Citation:</w:t>
      </w:r>
    </w:p>
    <w:p w14:paraId="0DE377D0" w14:textId="77777777" w:rsidR="007E0B3C" w:rsidRDefault="007E0B3C" w:rsidP="007E0B3C">
      <w:pPr>
        <w:pStyle w:val="citation"/>
        <w:shd w:val="clear" w:color="auto" w:fill="FFFFFF"/>
        <w:spacing w:before="0" w:beforeAutospacing="0" w:after="150" w:afterAutospacing="0"/>
        <w:ind w:left="720"/>
        <w:rPr>
          <w:rFonts w:ascii="Lucida Sans" w:hAnsi="Lucida Sans"/>
          <w:color w:val="333333"/>
          <w:sz w:val="18"/>
          <w:szCs w:val="18"/>
        </w:rPr>
      </w:pPr>
      <w:r>
        <w:rPr>
          <w:rFonts w:ascii="Lucida Sans" w:hAnsi="Lucida Sans"/>
          <w:color w:val="333333"/>
          <w:sz w:val="18"/>
          <w:szCs w:val="18"/>
        </w:rPr>
        <w:t>Board of Governors of the Federal Reserve System (US), M2 Money Stock [M2SL], retrieved from FRED, Federal Reserve Bank of St. Louis; https://fred.stlouisfed.org/series/M2SL, April 8, 2021.</w:t>
      </w:r>
    </w:p>
    <w:p w14:paraId="20DE75BE" w14:textId="36DF91D5" w:rsidR="007E0B3C" w:rsidRDefault="007E0B3C" w:rsidP="008D01AF"/>
    <w:p w14:paraId="39EA7285" w14:textId="185B23C4" w:rsidR="008D01AF" w:rsidRPr="00161138" w:rsidRDefault="008D01AF" w:rsidP="008D01AF">
      <w:pPr>
        <w:rPr>
          <w:sz w:val="32"/>
          <w:szCs w:val="32"/>
        </w:rPr>
      </w:pPr>
      <w:r w:rsidRPr="00161138">
        <w:rPr>
          <w:sz w:val="32"/>
          <w:szCs w:val="32"/>
        </w:rPr>
        <w:t>Fed Funds Discount Rate</w:t>
      </w:r>
    </w:p>
    <w:p w14:paraId="7B77CF38" w14:textId="3E55A050" w:rsidR="008D01AF" w:rsidRDefault="008D01AF" w:rsidP="008D01AF"/>
    <w:p w14:paraId="75F3F866" w14:textId="375A0DEA" w:rsidR="008D01AF" w:rsidRDefault="00432915" w:rsidP="008D01AF">
      <w:hyperlink r:id="rId11" w:history="1">
        <w:r w:rsidR="008D01AF" w:rsidRPr="00206E24">
          <w:rPr>
            <w:rStyle w:val="Hyperlink"/>
          </w:rPr>
          <w:t>https://fred.stlouisfed.org/series/FEDFUNDS</w:t>
        </w:r>
      </w:hyperlink>
    </w:p>
    <w:p w14:paraId="6E557972" w14:textId="77777777" w:rsidR="008D01AF" w:rsidRDefault="008D01AF" w:rsidP="008D01AF"/>
    <w:p w14:paraId="0BC2895F" w14:textId="77777777" w:rsidR="008D01AF" w:rsidRDefault="008D01AF" w:rsidP="008D01AF">
      <w:pPr>
        <w:pStyle w:val="col-xs-12col-md-6"/>
        <w:shd w:val="clear" w:color="auto" w:fill="FFFFFF"/>
        <w:spacing w:before="0" w:beforeAutospacing="0" w:after="150" w:afterAutospacing="0"/>
        <w:ind w:left="720"/>
        <w:rPr>
          <w:rFonts w:ascii="Lucida Sans" w:hAnsi="Lucida Sans"/>
          <w:color w:val="333333"/>
          <w:sz w:val="18"/>
          <w:szCs w:val="18"/>
        </w:rPr>
      </w:pPr>
      <w:r>
        <w:rPr>
          <w:rStyle w:val="Strong"/>
          <w:rFonts w:ascii="Lucida Sans" w:hAnsi="Lucida Sans"/>
          <w:color w:val="333333"/>
          <w:sz w:val="18"/>
          <w:szCs w:val="18"/>
        </w:rPr>
        <w:t>Source:</w:t>
      </w:r>
      <w:r>
        <w:rPr>
          <w:rFonts w:ascii="Lucida Sans" w:hAnsi="Lucida Sans"/>
          <w:color w:val="333333"/>
          <w:sz w:val="18"/>
          <w:szCs w:val="18"/>
        </w:rPr>
        <w:t> </w:t>
      </w:r>
      <w:hyperlink r:id="rId12" w:tgtFrame="_blank" w:history="1">
        <w:r>
          <w:rPr>
            <w:rStyle w:val="Hyperlink"/>
            <w:rFonts w:ascii="Lucida Sans" w:hAnsi="Lucida Sans"/>
            <w:color w:val="39619A"/>
            <w:sz w:val="18"/>
            <w:szCs w:val="18"/>
          </w:rPr>
          <w:t>Board of Governors of the Federal Reserve System (US) </w:t>
        </w:r>
      </w:hyperlink>
      <w:r>
        <w:rPr>
          <w:rFonts w:ascii="Lucida Sans" w:hAnsi="Lucida Sans"/>
          <w:color w:val="333333"/>
          <w:sz w:val="18"/>
          <w:szCs w:val="18"/>
        </w:rPr>
        <w:t> </w:t>
      </w:r>
    </w:p>
    <w:p w14:paraId="411CAA0C" w14:textId="77777777" w:rsidR="008D01AF" w:rsidRDefault="008D01AF" w:rsidP="008D01AF">
      <w:pPr>
        <w:pStyle w:val="col-xs-12col-md-6"/>
        <w:shd w:val="clear" w:color="auto" w:fill="FFFFFF"/>
        <w:spacing w:before="0" w:beforeAutospacing="0" w:after="150" w:afterAutospacing="0"/>
        <w:ind w:left="720"/>
        <w:rPr>
          <w:rFonts w:ascii="Lucida Sans" w:hAnsi="Lucida Sans"/>
          <w:color w:val="333333"/>
          <w:sz w:val="18"/>
          <w:szCs w:val="18"/>
        </w:rPr>
      </w:pPr>
      <w:r>
        <w:rPr>
          <w:rStyle w:val="Strong"/>
          <w:rFonts w:ascii="Lucida Sans" w:hAnsi="Lucida Sans"/>
          <w:color w:val="333333"/>
          <w:sz w:val="18"/>
          <w:szCs w:val="18"/>
        </w:rPr>
        <w:t>Release:</w:t>
      </w:r>
      <w:r>
        <w:rPr>
          <w:rFonts w:ascii="Lucida Sans" w:hAnsi="Lucida Sans"/>
          <w:color w:val="333333"/>
          <w:sz w:val="18"/>
          <w:szCs w:val="18"/>
        </w:rPr>
        <w:t> </w:t>
      </w:r>
      <w:hyperlink r:id="rId13" w:tgtFrame="_blank" w:history="1">
        <w:r>
          <w:rPr>
            <w:rStyle w:val="Hyperlink"/>
            <w:rFonts w:ascii="Lucida Sans" w:hAnsi="Lucida Sans"/>
            <w:color w:val="39619A"/>
            <w:sz w:val="18"/>
            <w:szCs w:val="18"/>
          </w:rPr>
          <w:t>H.15 Selected Interest Rates </w:t>
        </w:r>
      </w:hyperlink>
      <w:r>
        <w:rPr>
          <w:rFonts w:ascii="Lucida Sans" w:hAnsi="Lucida Sans"/>
          <w:color w:val="333333"/>
          <w:sz w:val="18"/>
          <w:szCs w:val="18"/>
        </w:rPr>
        <w:t> </w:t>
      </w:r>
    </w:p>
    <w:p w14:paraId="03B47278" w14:textId="77777777" w:rsidR="008D01AF" w:rsidRDefault="008D01AF" w:rsidP="008D01AF">
      <w:pPr>
        <w:pStyle w:val="col-xs-12pull-left"/>
        <w:shd w:val="clear" w:color="auto" w:fill="FFFFFF"/>
        <w:spacing w:before="0" w:beforeAutospacing="0" w:after="150" w:afterAutospacing="0"/>
        <w:ind w:left="720"/>
        <w:rPr>
          <w:rFonts w:ascii="Lucida Sans" w:hAnsi="Lucida Sans"/>
          <w:color w:val="333333"/>
          <w:sz w:val="18"/>
          <w:szCs w:val="18"/>
        </w:rPr>
      </w:pPr>
      <w:r>
        <w:rPr>
          <w:rStyle w:val="Strong"/>
          <w:rFonts w:ascii="Lucida Sans" w:hAnsi="Lucida Sans"/>
          <w:color w:val="333333"/>
          <w:sz w:val="18"/>
          <w:szCs w:val="18"/>
        </w:rPr>
        <w:t>Units:</w:t>
      </w:r>
      <w:r>
        <w:rPr>
          <w:rFonts w:ascii="Lucida Sans" w:hAnsi="Lucida Sans"/>
          <w:color w:val="333333"/>
          <w:sz w:val="18"/>
          <w:szCs w:val="18"/>
        </w:rPr>
        <w:t>  </w:t>
      </w:r>
      <w:r>
        <w:rPr>
          <w:rStyle w:val="series-meta-value-units"/>
          <w:rFonts w:ascii="Lucida Sans" w:hAnsi="Lucida Sans"/>
          <w:color w:val="666666"/>
          <w:sz w:val="18"/>
          <w:szCs w:val="18"/>
        </w:rPr>
        <w:t>Percent</w:t>
      </w:r>
      <w:r>
        <w:rPr>
          <w:rStyle w:val="series-meta-value"/>
          <w:rFonts w:ascii="Lucida Sans" w:eastAsiaTheme="majorEastAsia" w:hAnsi="Lucida Sans"/>
          <w:color w:val="666666"/>
          <w:sz w:val="18"/>
          <w:szCs w:val="18"/>
        </w:rPr>
        <w:t>, Not Seasonally Adjusted</w:t>
      </w:r>
    </w:p>
    <w:p w14:paraId="3C980C7B" w14:textId="77777777" w:rsidR="008D01AF" w:rsidRDefault="008D01AF" w:rsidP="008D01AF">
      <w:pPr>
        <w:pStyle w:val="col-xs-12pull-left"/>
        <w:shd w:val="clear" w:color="auto" w:fill="FFFFFF"/>
        <w:spacing w:before="0" w:beforeAutospacing="0" w:after="150" w:afterAutospacing="0"/>
        <w:ind w:left="720"/>
        <w:rPr>
          <w:rFonts w:ascii="Lucida Sans" w:hAnsi="Lucida Sans"/>
          <w:color w:val="333333"/>
          <w:sz w:val="18"/>
          <w:szCs w:val="18"/>
        </w:rPr>
      </w:pPr>
      <w:r>
        <w:rPr>
          <w:rStyle w:val="Strong"/>
          <w:rFonts w:ascii="Lucida Sans" w:hAnsi="Lucida Sans"/>
          <w:color w:val="333333"/>
          <w:sz w:val="18"/>
          <w:szCs w:val="18"/>
        </w:rPr>
        <w:t>Frequency:</w:t>
      </w:r>
      <w:r>
        <w:rPr>
          <w:rFonts w:ascii="Lucida Sans" w:hAnsi="Lucida Sans"/>
          <w:color w:val="333333"/>
          <w:sz w:val="18"/>
          <w:szCs w:val="18"/>
        </w:rPr>
        <w:t>  </w:t>
      </w:r>
      <w:r>
        <w:rPr>
          <w:rStyle w:val="series-meta-value-frequency"/>
          <w:rFonts w:ascii="Lucida Sans" w:hAnsi="Lucida Sans"/>
          <w:color w:val="666666"/>
          <w:sz w:val="18"/>
          <w:szCs w:val="18"/>
        </w:rPr>
        <w:t>Monthly</w:t>
      </w:r>
    </w:p>
    <w:p w14:paraId="3023AEF0" w14:textId="77777777" w:rsidR="008D01AF" w:rsidRDefault="008D01AF" w:rsidP="008D01AF">
      <w:pPr>
        <w:pStyle w:val="series-notes"/>
        <w:shd w:val="clear" w:color="auto" w:fill="FFFFFF"/>
        <w:spacing w:before="0" w:beforeAutospacing="0" w:after="150" w:afterAutospacing="0"/>
        <w:ind w:left="720"/>
        <w:rPr>
          <w:rFonts w:ascii="Lucida Sans" w:hAnsi="Lucida Sans"/>
          <w:color w:val="333333"/>
          <w:sz w:val="18"/>
          <w:szCs w:val="18"/>
        </w:rPr>
      </w:pPr>
      <w:r>
        <w:rPr>
          <w:rFonts w:ascii="Lucida Sans" w:hAnsi="Lucida Sans"/>
          <w:color w:val="333333"/>
          <w:sz w:val="18"/>
          <w:szCs w:val="18"/>
        </w:rPr>
        <w:t>Averages of daily figures.</w:t>
      </w:r>
      <w:r>
        <w:rPr>
          <w:rFonts w:ascii="Lucida Sans" w:hAnsi="Lucida Sans"/>
          <w:color w:val="333333"/>
          <w:sz w:val="18"/>
          <w:szCs w:val="18"/>
        </w:rPr>
        <w:br/>
      </w:r>
      <w:r>
        <w:rPr>
          <w:rFonts w:ascii="Lucida Sans" w:hAnsi="Lucida Sans"/>
          <w:color w:val="333333"/>
          <w:sz w:val="18"/>
          <w:szCs w:val="18"/>
        </w:rPr>
        <w:br/>
        <w:t>For additional historical federal funds rate data, please see </w:t>
      </w:r>
      <w:hyperlink r:id="rId14" w:history="1">
        <w:r>
          <w:rPr>
            <w:rStyle w:val="Hyperlink"/>
            <w:rFonts w:ascii="Lucida Sans" w:hAnsi="Lucida Sans"/>
            <w:color w:val="39619A"/>
            <w:sz w:val="18"/>
            <w:szCs w:val="18"/>
          </w:rPr>
          <w:t>Daily Federal Funds Rate from 1928-1954</w:t>
        </w:r>
      </w:hyperlink>
      <w:r>
        <w:rPr>
          <w:rFonts w:ascii="Lucida Sans" w:hAnsi="Lucida Sans"/>
          <w:color w:val="333333"/>
          <w:sz w:val="18"/>
          <w:szCs w:val="18"/>
        </w:rPr>
        <w:t>.</w:t>
      </w:r>
      <w:r>
        <w:rPr>
          <w:rFonts w:ascii="Lucida Sans" w:hAnsi="Lucida Sans"/>
          <w:color w:val="333333"/>
          <w:sz w:val="18"/>
          <w:szCs w:val="18"/>
        </w:rPr>
        <w:br/>
      </w:r>
      <w:r>
        <w:rPr>
          <w:rFonts w:ascii="Lucida Sans" w:hAnsi="Lucida Sans"/>
          <w:color w:val="333333"/>
          <w:sz w:val="18"/>
          <w:szCs w:val="18"/>
        </w:rPr>
        <w:br/>
        <w:t xml:space="preserve">The federal funds rate is the interest rate at which depository institutions trade federal funds (balances held at Federal Reserve Banks) with each other overnight. When a depository institution has surplus balances in its reserve account, it lends to other banks in need of larger balances. In simpler terms, a bank with excess cash, which is often referred to as liquidity, will lend to another bank that needs to quickly raise liquidity. (1) The rate that the borrowing institution pays to the lending institution is determined between the two banks; the weighted average rate for all of </w:t>
      </w:r>
      <w:r>
        <w:rPr>
          <w:rFonts w:ascii="Lucida Sans" w:hAnsi="Lucida Sans"/>
          <w:color w:val="333333"/>
          <w:sz w:val="18"/>
          <w:szCs w:val="18"/>
        </w:rPr>
        <w:lastRenderedPageBreak/>
        <w:t>these types of negotiations is called the effective federal funds rate.(2) The effective federal funds rate is essentially determined by the market but is influenced by the Federal Reserve through open market operations to reach the federal funds rate target.(2)</w:t>
      </w:r>
      <w:r>
        <w:rPr>
          <w:rFonts w:ascii="Lucida Sans" w:hAnsi="Lucida Sans"/>
          <w:color w:val="333333"/>
          <w:sz w:val="18"/>
          <w:szCs w:val="18"/>
        </w:rPr>
        <w:br/>
        <w:t>The Federal Open Market Committee (FOMC) meets eight times a year to determine the federal funds target rate. As previously stated, this rate influences the effective federal funds rate through open market operations or by buying and selling of government bonds (government debt</w:t>
      </w:r>
      <w:proofErr w:type="gramStart"/>
      <w:r>
        <w:rPr>
          <w:rFonts w:ascii="Lucida Sans" w:hAnsi="Lucida Sans"/>
          <w:color w:val="333333"/>
          <w:sz w:val="18"/>
          <w:szCs w:val="18"/>
        </w:rPr>
        <w:t>).(</w:t>
      </w:r>
      <w:proofErr w:type="gramEnd"/>
      <w:r>
        <w:rPr>
          <w:rFonts w:ascii="Lucida Sans" w:hAnsi="Lucida Sans"/>
          <w:color w:val="333333"/>
          <w:sz w:val="18"/>
          <w:szCs w:val="18"/>
        </w:rPr>
        <w:t>2) More specifically, the Federal Reserve decreases liquidity by selling government bonds, thereby raising the federal funds rate because banks have less liquidity to trade with other banks. Similarly, the Federal Reserve can increase liquidity by buying government bonds, decreasing the federal funds rate because banks have excess liquidity for trade. Whether the Federal Reserve wants to buy or sell bonds depends on the state of the economy. If the FOMC believes the economy is growing too fast and inflation pressures are inconsistent with the dual mandate of the Federal Reserve, the Committee may set a higher federal funds rate target to temper economic activity. In the opposing scenario, the FOMC may set a lower federal funds rate target to spur greater economic activity. Therefore, the FOMC must observe the current state of the economy to determine the best course of monetary policy that will maximize economic growth while adhering to the dual mandate set forth by Congress. In making its monetary policy decisions, the FOMC considers a wealth of economic data, such as: trends in prices and wages, employment, consumer spending and income, business investments, and foreign exchange markets.</w:t>
      </w:r>
      <w:r>
        <w:rPr>
          <w:rFonts w:ascii="Lucida Sans" w:hAnsi="Lucida Sans"/>
          <w:color w:val="333333"/>
          <w:sz w:val="18"/>
          <w:szCs w:val="18"/>
        </w:rPr>
        <w:br/>
        <w:t xml:space="preserve">The federal funds rate is the central interest rate in the U.S. financial market. It influences other interest rates such as the prime rate, which is the rate banks charge their customers with higher credit ratings. Additionally, the federal funds rate indirectly influences longer- term interest rates such as mortgages, loans, and savings, all of which are very important to consumer wealth and </w:t>
      </w:r>
      <w:proofErr w:type="gramStart"/>
      <w:r>
        <w:rPr>
          <w:rFonts w:ascii="Lucida Sans" w:hAnsi="Lucida Sans"/>
          <w:color w:val="333333"/>
          <w:sz w:val="18"/>
          <w:szCs w:val="18"/>
        </w:rPr>
        <w:t>confidence.(</w:t>
      </w:r>
      <w:proofErr w:type="gramEnd"/>
      <w:r>
        <w:rPr>
          <w:rFonts w:ascii="Lucida Sans" w:hAnsi="Lucida Sans"/>
          <w:color w:val="333333"/>
          <w:sz w:val="18"/>
          <w:szCs w:val="18"/>
        </w:rPr>
        <w:t>2)</w:t>
      </w:r>
      <w:r>
        <w:rPr>
          <w:rFonts w:ascii="Lucida Sans" w:hAnsi="Lucida Sans"/>
          <w:color w:val="333333"/>
          <w:sz w:val="18"/>
          <w:szCs w:val="18"/>
        </w:rPr>
        <w:br/>
        <w:t>References</w:t>
      </w:r>
      <w:r>
        <w:rPr>
          <w:rFonts w:ascii="Lucida Sans" w:hAnsi="Lucida Sans"/>
          <w:color w:val="333333"/>
          <w:sz w:val="18"/>
          <w:szCs w:val="18"/>
        </w:rPr>
        <w:br/>
        <w:t xml:space="preserve">(1) Federal Reserve Bank of New York. "Federal funds." </w:t>
      </w:r>
      <w:proofErr w:type="spellStart"/>
      <w:r>
        <w:rPr>
          <w:rFonts w:ascii="Lucida Sans" w:hAnsi="Lucida Sans"/>
          <w:color w:val="333333"/>
          <w:sz w:val="18"/>
          <w:szCs w:val="18"/>
        </w:rPr>
        <w:t>Fedpoints</w:t>
      </w:r>
      <w:proofErr w:type="spellEnd"/>
      <w:r>
        <w:rPr>
          <w:rFonts w:ascii="Lucida Sans" w:hAnsi="Lucida Sans"/>
          <w:color w:val="333333"/>
          <w:sz w:val="18"/>
          <w:szCs w:val="18"/>
        </w:rPr>
        <w:t>, August 2007.</w:t>
      </w:r>
      <w:r>
        <w:rPr>
          <w:rFonts w:ascii="Lucida Sans" w:hAnsi="Lucida Sans"/>
          <w:color w:val="333333"/>
          <w:sz w:val="18"/>
          <w:szCs w:val="18"/>
        </w:rPr>
        <w:br/>
        <w:t>(2) Board of Governors of the Federal Reserve System. "</w:t>
      </w:r>
      <w:hyperlink r:id="rId15" w:history="1">
        <w:r>
          <w:rPr>
            <w:rStyle w:val="Hyperlink"/>
            <w:rFonts w:ascii="Lucida Sans" w:hAnsi="Lucida Sans"/>
            <w:color w:val="39619A"/>
            <w:sz w:val="18"/>
            <w:szCs w:val="18"/>
          </w:rPr>
          <w:t>Monetary Policy</w:t>
        </w:r>
      </w:hyperlink>
      <w:r>
        <w:rPr>
          <w:rFonts w:ascii="Lucida Sans" w:hAnsi="Lucida Sans"/>
          <w:color w:val="333333"/>
          <w:sz w:val="18"/>
          <w:szCs w:val="18"/>
        </w:rPr>
        <w:t>".</w:t>
      </w:r>
    </w:p>
    <w:p w14:paraId="63FB0860" w14:textId="77777777" w:rsidR="008D01AF" w:rsidRDefault="008D01AF" w:rsidP="008D01AF">
      <w:pPr>
        <w:pStyle w:val="Heading4"/>
        <w:shd w:val="clear" w:color="auto" w:fill="FFFFFF"/>
        <w:spacing w:before="0"/>
        <w:ind w:left="720"/>
        <w:rPr>
          <w:rFonts w:ascii="inherit" w:hAnsi="inherit"/>
          <w:color w:val="333333"/>
          <w:sz w:val="18"/>
          <w:szCs w:val="18"/>
        </w:rPr>
      </w:pPr>
      <w:r>
        <w:rPr>
          <w:rFonts w:ascii="inherit" w:hAnsi="inherit"/>
          <w:color w:val="333333"/>
          <w:sz w:val="18"/>
          <w:szCs w:val="18"/>
        </w:rPr>
        <w:t>Suggested Citation:</w:t>
      </w:r>
    </w:p>
    <w:p w14:paraId="307D26E3" w14:textId="77777777" w:rsidR="008D01AF" w:rsidRDefault="008D01AF" w:rsidP="008D01AF">
      <w:pPr>
        <w:pStyle w:val="citation"/>
        <w:shd w:val="clear" w:color="auto" w:fill="FFFFFF"/>
        <w:spacing w:before="0" w:beforeAutospacing="0" w:after="150" w:afterAutospacing="0"/>
        <w:ind w:left="720"/>
        <w:rPr>
          <w:rFonts w:ascii="Lucida Sans" w:hAnsi="Lucida Sans"/>
          <w:color w:val="333333"/>
          <w:sz w:val="18"/>
          <w:szCs w:val="18"/>
        </w:rPr>
      </w:pPr>
      <w:r>
        <w:rPr>
          <w:rFonts w:ascii="Lucida Sans" w:hAnsi="Lucida Sans"/>
          <w:color w:val="333333"/>
          <w:sz w:val="18"/>
          <w:szCs w:val="18"/>
        </w:rPr>
        <w:t>Board of Governors of the Federal Reserve System (US), Effective Federal Funds Rate [FEDFUNDS], retrieved from FRED, Federal Reserve Bank of St. Louis; https://fred.stlouisfed.org/series/FEDFUNDS, April 12, 2021.</w:t>
      </w:r>
    </w:p>
    <w:p w14:paraId="111075CB" w14:textId="30B4B94C" w:rsidR="008D01AF" w:rsidRPr="00161138" w:rsidRDefault="006202F8" w:rsidP="008D01AF">
      <w:pPr>
        <w:rPr>
          <w:sz w:val="32"/>
          <w:szCs w:val="32"/>
        </w:rPr>
      </w:pPr>
      <w:r w:rsidRPr="00161138">
        <w:rPr>
          <w:sz w:val="32"/>
          <w:szCs w:val="32"/>
        </w:rPr>
        <w:t>Chinese Discount Rates</w:t>
      </w:r>
    </w:p>
    <w:p w14:paraId="20357140" w14:textId="1516BAEA" w:rsidR="006202F8" w:rsidRDefault="00432915" w:rsidP="008D01AF">
      <w:hyperlink r:id="rId16" w:history="1">
        <w:r w:rsidR="006202F8" w:rsidRPr="00287964">
          <w:rPr>
            <w:rStyle w:val="Hyperlink"/>
          </w:rPr>
          <w:t>https://fred.stlouisfed.org/series/INTDSRCNM193N</w:t>
        </w:r>
      </w:hyperlink>
    </w:p>
    <w:p w14:paraId="267BA302" w14:textId="0344E711" w:rsidR="006202F8" w:rsidRDefault="006202F8" w:rsidP="006202F8">
      <w:pPr>
        <w:ind w:left="720"/>
      </w:pPr>
    </w:p>
    <w:p w14:paraId="6A321C79" w14:textId="77777777" w:rsidR="006202F8" w:rsidRDefault="006202F8" w:rsidP="006202F8">
      <w:pPr>
        <w:pStyle w:val="col-xs-12col-md-6"/>
        <w:shd w:val="clear" w:color="auto" w:fill="FFFFFF"/>
        <w:spacing w:before="0" w:beforeAutospacing="0" w:after="150" w:afterAutospacing="0"/>
        <w:ind w:left="720"/>
        <w:rPr>
          <w:rFonts w:ascii="Lucida Sans" w:hAnsi="Lucida Sans"/>
          <w:color w:val="333333"/>
          <w:sz w:val="18"/>
          <w:szCs w:val="18"/>
        </w:rPr>
      </w:pPr>
      <w:r>
        <w:rPr>
          <w:rStyle w:val="Strong"/>
          <w:rFonts w:ascii="Lucida Sans" w:hAnsi="Lucida Sans"/>
          <w:color w:val="333333"/>
          <w:sz w:val="18"/>
          <w:szCs w:val="18"/>
        </w:rPr>
        <w:t>Source:</w:t>
      </w:r>
      <w:r>
        <w:rPr>
          <w:rFonts w:ascii="Lucida Sans" w:hAnsi="Lucida Sans"/>
          <w:color w:val="333333"/>
          <w:sz w:val="18"/>
          <w:szCs w:val="18"/>
        </w:rPr>
        <w:t> </w:t>
      </w:r>
      <w:hyperlink r:id="rId17" w:tgtFrame="_blank" w:history="1">
        <w:r>
          <w:rPr>
            <w:rStyle w:val="Hyperlink"/>
            <w:rFonts w:ascii="Lucida Sans" w:hAnsi="Lucida Sans"/>
            <w:color w:val="39619A"/>
            <w:sz w:val="18"/>
            <w:szCs w:val="18"/>
          </w:rPr>
          <w:t>International Monetary Fund </w:t>
        </w:r>
      </w:hyperlink>
      <w:r>
        <w:rPr>
          <w:rFonts w:ascii="Lucida Sans" w:hAnsi="Lucida Sans"/>
          <w:color w:val="333333"/>
          <w:sz w:val="18"/>
          <w:szCs w:val="18"/>
        </w:rPr>
        <w:t> </w:t>
      </w:r>
    </w:p>
    <w:p w14:paraId="1F7B4672" w14:textId="77777777" w:rsidR="006202F8" w:rsidRDefault="006202F8" w:rsidP="006202F8">
      <w:pPr>
        <w:pStyle w:val="col-xs-12col-md-6"/>
        <w:shd w:val="clear" w:color="auto" w:fill="FFFFFF"/>
        <w:spacing w:before="0" w:beforeAutospacing="0" w:after="150" w:afterAutospacing="0"/>
        <w:ind w:left="720"/>
        <w:rPr>
          <w:rFonts w:ascii="Lucida Sans" w:hAnsi="Lucida Sans"/>
          <w:color w:val="333333"/>
          <w:sz w:val="18"/>
          <w:szCs w:val="18"/>
        </w:rPr>
      </w:pPr>
      <w:r>
        <w:rPr>
          <w:rStyle w:val="Strong"/>
          <w:rFonts w:ascii="Lucida Sans" w:hAnsi="Lucida Sans"/>
          <w:color w:val="333333"/>
          <w:sz w:val="18"/>
          <w:szCs w:val="18"/>
        </w:rPr>
        <w:t>Release:</w:t>
      </w:r>
      <w:r>
        <w:rPr>
          <w:rFonts w:ascii="Lucida Sans" w:hAnsi="Lucida Sans"/>
          <w:color w:val="333333"/>
          <w:sz w:val="18"/>
          <w:szCs w:val="18"/>
        </w:rPr>
        <w:t> </w:t>
      </w:r>
      <w:hyperlink r:id="rId18" w:tgtFrame="_blank" w:history="1">
        <w:r>
          <w:rPr>
            <w:rStyle w:val="Hyperlink"/>
            <w:rFonts w:ascii="Lucida Sans" w:hAnsi="Lucida Sans"/>
            <w:color w:val="39619A"/>
            <w:sz w:val="18"/>
            <w:szCs w:val="18"/>
          </w:rPr>
          <w:t>International Financial Statistics </w:t>
        </w:r>
      </w:hyperlink>
      <w:r>
        <w:rPr>
          <w:rFonts w:ascii="Lucida Sans" w:hAnsi="Lucida Sans"/>
          <w:color w:val="333333"/>
          <w:sz w:val="18"/>
          <w:szCs w:val="18"/>
        </w:rPr>
        <w:t> </w:t>
      </w:r>
    </w:p>
    <w:p w14:paraId="574A39E3" w14:textId="77777777" w:rsidR="006202F8" w:rsidRDefault="006202F8" w:rsidP="006202F8">
      <w:pPr>
        <w:pStyle w:val="col-xs-12pull-left"/>
        <w:shd w:val="clear" w:color="auto" w:fill="FFFFFF"/>
        <w:spacing w:before="0" w:beforeAutospacing="0" w:after="150" w:afterAutospacing="0"/>
        <w:ind w:left="720"/>
        <w:rPr>
          <w:rFonts w:ascii="Lucida Sans" w:hAnsi="Lucida Sans"/>
          <w:color w:val="333333"/>
          <w:sz w:val="18"/>
          <w:szCs w:val="18"/>
        </w:rPr>
      </w:pPr>
      <w:r>
        <w:rPr>
          <w:rStyle w:val="Strong"/>
          <w:rFonts w:ascii="Lucida Sans" w:hAnsi="Lucida Sans"/>
          <w:color w:val="333333"/>
          <w:sz w:val="18"/>
          <w:szCs w:val="18"/>
        </w:rPr>
        <w:t>Units:</w:t>
      </w:r>
      <w:r>
        <w:rPr>
          <w:rFonts w:ascii="Lucida Sans" w:hAnsi="Lucida Sans"/>
          <w:color w:val="333333"/>
          <w:sz w:val="18"/>
          <w:szCs w:val="18"/>
        </w:rPr>
        <w:t>  </w:t>
      </w:r>
      <w:r>
        <w:rPr>
          <w:rStyle w:val="series-meta-value-units"/>
          <w:rFonts w:ascii="Lucida Sans" w:hAnsi="Lucida Sans"/>
          <w:color w:val="666666"/>
          <w:sz w:val="18"/>
          <w:szCs w:val="18"/>
        </w:rPr>
        <w:t>Percent per Annum</w:t>
      </w:r>
      <w:r>
        <w:rPr>
          <w:rStyle w:val="series-meta-value"/>
          <w:rFonts w:ascii="Lucida Sans" w:eastAsiaTheme="majorEastAsia" w:hAnsi="Lucida Sans"/>
          <w:color w:val="666666"/>
          <w:sz w:val="18"/>
          <w:szCs w:val="18"/>
        </w:rPr>
        <w:t>, Not Seasonally Adjusted</w:t>
      </w:r>
    </w:p>
    <w:p w14:paraId="559B9553" w14:textId="77777777" w:rsidR="006202F8" w:rsidRDefault="006202F8" w:rsidP="006202F8">
      <w:pPr>
        <w:pStyle w:val="col-xs-12pull-left"/>
        <w:shd w:val="clear" w:color="auto" w:fill="FFFFFF"/>
        <w:spacing w:before="0" w:beforeAutospacing="0" w:after="150" w:afterAutospacing="0"/>
        <w:ind w:left="720"/>
        <w:rPr>
          <w:rFonts w:ascii="Lucida Sans" w:hAnsi="Lucida Sans"/>
          <w:color w:val="333333"/>
          <w:sz w:val="18"/>
          <w:szCs w:val="18"/>
        </w:rPr>
      </w:pPr>
      <w:r>
        <w:rPr>
          <w:rStyle w:val="Strong"/>
          <w:rFonts w:ascii="Lucida Sans" w:hAnsi="Lucida Sans"/>
          <w:color w:val="333333"/>
          <w:sz w:val="18"/>
          <w:szCs w:val="18"/>
        </w:rPr>
        <w:t>Frequency:</w:t>
      </w:r>
      <w:r>
        <w:rPr>
          <w:rFonts w:ascii="Lucida Sans" w:hAnsi="Lucida Sans"/>
          <w:color w:val="333333"/>
          <w:sz w:val="18"/>
          <w:szCs w:val="18"/>
        </w:rPr>
        <w:t>  </w:t>
      </w:r>
      <w:r>
        <w:rPr>
          <w:rStyle w:val="series-meta-value-frequency"/>
          <w:rFonts w:ascii="Lucida Sans" w:hAnsi="Lucida Sans"/>
          <w:color w:val="666666"/>
          <w:sz w:val="18"/>
          <w:szCs w:val="18"/>
        </w:rPr>
        <w:t>Monthly</w:t>
      </w:r>
    </w:p>
    <w:p w14:paraId="4CBC8584" w14:textId="77777777" w:rsidR="006202F8" w:rsidRDefault="006202F8" w:rsidP="006202F8">
      <w:pPr>
        <w:pStyle w:val="series-notes"/>
        <w:shd w:val="clear" w:color="auto" w:fill="FFFFFF"/>
        <w:spacing w:before="0" w:beforeAutospacing="0" w:after="150" w:afterAutospacing="0"/>
        <w:ind w:left="720"/>
        <w:rPr>
          <w:rFonts w:ascii="Lucida Sans" w:hAnsi="Lucida Sans"/>
          <w:color w:val="333333"/>
          <w:sz w:val="18"/>
          <w:szCs w:val="18"/>
        </w:rPr>
      </w:pPr>
      <w:r>
        <w:rPr>
          <w:rFonts w:ascii="Lucida Sans" w:hAnsi="Lucida Sans"/>
          <w:color w:val="333333"/>
          <w:sz w:val="18"/>
          <w:szCs w:val="18"/>
        </w:rPr>
        <w:t>Notes regarding this series can be found in International Financial Statistics Yearbooks produced by the International Monetary Fund (IMF). We have requested these publications from the IMF. Notes on this series will populate once they become available.</w:t>
      </w:r>
      <w:r>
        <w:rPr>
          <w:rFonts w:ascii="Lucida Sans" w:hAnsi="Lucida Sans"/>
          <w:color w:val="333333"/>
          <w:sz w:val="18"/>
          <w:szCs w:val="18"/>
        </w:rPr>
        <w:br/>
      </w:r>
      <w:r>
        <w:rPr>
          <w:rFonts w:ascii="Lucida Sans" w:hAnsi="Lucida Sans"/>
          <w:color w:val="333333"/>
          <w:sz w:val="18"/>
          <w:szCs w:val="18"/>
        </w:rPr>
        <w:br/>
        <w:t>Copyright © 2016, International Monetary Fund. Reprinted with permission. Complete terms of use and contact details are available at </w:t>
      </w:r>
      <w:hyperlink r:id="rId19" w:tgtFrame="_blank" w:history="1">
        <w:r>
          <w:rPr>
            <w:rStyle w:val="Hyperlink"/>
            <w:rFonts w:ascii="Lucida Sans" w:hAnsi="Lucida Sans"/>
            <w:color w:val="39619A"/>
            <w:sz w:val="18"/>
            <w:szCs w:val="18"/>
          </w:rPr>
          <w:t>http://www.imf.org/external/terms.htm</w:t>
        </w:r>
      </w:hyperlink>
      <w:r>
        <w:rPr>
          <w:rFonts w:ascii="Lucida Sans" w:hAnsi="Lucida Sans"/>
          <w:color w:val="333333"/>
          <w:sz w:val="18"/>
          <w:szCs w:val="18"/>
        </w:rPr>
        <w:t>.</w:t>
      </w:r>
    </w:p>
    <w:p w14:paraId="775AF629" w14:textId="77777777" w:rsidR="006202F8" w:rsidRDefault="006202F8" w:rsidP="006202F8">
      <w:pPr>
        <w:pStyle w:val="Heading4"/>
        <w:shd w:val="clear" w:color="auto" w:fill="FFFFFF"/>
        <w:spacing w:before="0"/>
        <w:ind w:left="720"/>
        <w:rPr>
          <w:rFonts w:ascii="inherit" w:hAnsi="inherit"/>
          <w:color w:val="333333"/>
          <w:sz w:val="18"/>
          <w:szCs w:val="18"/>
        </w:rPr>
      </w:pPr>
      <w:r>
        <w:rPr>
          <w:rFonts w:ascii="inherit" w:hAnsi="inherit"/>
          <w:color w:val="333333"/>
          <w:sz w:val="18"/>
          <w:szCs w:val="18"/>
        </w:rPr>
        <w:t>Suggested Citation:</w:t>
      </w:r>
    </w:p>
    <w:p w14:paraId="77A28198" w14:textId="77777777" w:rsidR="006202F8" w:rsidRDefault="006202F8" w:rsidP="006202F8">
      <w:pPr>
        <w:pStyle w:val="citation"/>
        <w:shd w:val="clear" w:color="auto" w:fill="FFFFFF"/>
        <w:spacing w:before="0" w:beforeAutospacing="0" w:after="150" w:afterAutospacing="0"/>
        <w:ind w:left="720"/>
        <w:rPr>
          <w:rFonts w:ascii="Lucida Sans" w:hAnsi="Lucida Sans"/>
          <w:color w:val="333333"/>
          <w:sz w:val="18"/>
          <w:szCs w:val="18"/>
        </w:rPr>
      </w:pPr>
      <w:r>
        <w:rPr>
          <w:rFonts w:ascii="Lucida Sans" w:hAnsi="Lucida Sans"/>
          <w:color w:val="333333"/>
          <w:sz w:val="18"/>
          <w:szCs w:val="18"/>
        </w:rPr>
        <w:t>International Monetary Fund, Interest Rates, Discount Rate for China [INTDSRCNM193N], retrieved from FRED, Federal Reserve Bank of St. Louis; https://fred.stlouisfed.org/series/INTDSRCNM193N, April 14, 2021.</w:t>
      </w:r>
    </w:p>
    <w:p w14:paraId="056117A0" w14:textId="3F0D0FB2" w:rsidR="00161138" w:rsidRDefault="00161138">
      <w:r>
        <w:br w:type="page"/>
      </w:r>
    </w:p>
    <w:p w14:paraId="731FED5D" w14:textId="77777777" w:rsidR="006202F8" w:rsidRDefault="006202F8" w:rsidP="008D01AF"/>
    <w:p w14:paraId="48525738" w14:textId="10256341" w:rsidR="00161138" w:rsidRPr="00161138" w:rsidRDefault="00161138" w:rsidP="008D01AF">
      <w:pPr>
        <w:rPr>
          <w:sz w:val="32"/>
          <w:szCs w:val="32"/>
        </w:rPr>
      </w:pPr>
      <w:r w:rsidRPr="00161138">
        <w:rPr>
          <w:sz w:val="32"/>
          <w:szCs w:val="32"/>
        </w:rPr>
        <w:t>Forecasted Real GDP, Read Disposal Income, Unemployment, CPI and Fed Discount Rates.</w:t>
      </w:r>
    </w:p>
    <w:p w14:paraId="055D5CB4" w14:textId="3AF4F4D7" w:rsidR="00161138" w:rsidRDefault="00161138" w:rsidP="008D01AF">
      <w:hyperlink r:id="rId20" w:history="1">
        <w:r w:rsidRPr="00091879">
          <w:rPr>
            <w:rStyle w:val="Hyperlink"/>
          </w:rPr>
          <w:t>https://conference-board.org/research/us-forecast</w:t>
        </w:r>
      </w:hyperlink>
    </w:p>
    <w:p w14:paraId="25A25212" w14:textId="77777777" w:rsidR="00161138" w:rsidRDefault="00161138" w:rsidP="00161138">
      <w:pPr>
        <w:shd w:val="clear" w:color="auto" w:fill="FFFFFF"/>
        <w:spacing w:line="720" w:lineRule="atLeast"/>
        <w:rPr>
          <w:rFonts w:ascii="AvenirLTPro-Book" w:hAnsi="AvenirLTPro-Book"/>
          <w:b/>
          <w:bCs/>
          <w:color w:val="0072B4"/>
        </w:rPr>
      </w:pPr>
      <w:r>
        <w:rPr>
          <w:rFonts w:ascii="AvenirLTPro-Book" w:hAnsi="AvenirLTPro-Book"/>
          <w:b/>
          <w:bCs/>
          <w:color w:val="0072B4"/>
        </w:rPr>
        <w:t>The Conference Board Economic Forecast for the US Economy</w:t>
      </w:r>
    </w:p>
    <w:p w14:paraId="5F3334A9" w14:textId="77777777" w:rsidR="00161138" w:rsidRDefault="00161138" w:rsidP="00161138">
      <w:pPr>
        <w:pStyle w:val="xmsonormal"/>
        <w:shd w:val="clear" w:color="auto" w:fill="FFFFFF"/>
        <w:spacing w:line="450" w:lineRule="atLeast"/>
      </w:pPr>
      <w:r>
        <w:rPr>
          <w:rStyle w:val="Strong"/>
        </w:rPr>
        <w:t>April 14, 2021</w:t>
      </w:r>
    </w:p>
    <w:p w14:paraId="4A78131B" w14:textId="77777777" w:rsidR="00161138" w:rsidRDefault="00161138" w:rsidP="00161138">
      <w:pPr>
        <w:pStyle w:val="xmsonormal"/>
        <w:shd w:val="clear" w:color="auto" w:fill="FFFFFF"/>
        <w:spacing w:line="450" w:lineRule="atLeast"/>
      </w:pPr>
      <w:r>
        <w:t xml:space="preserve">The Conference Board forecasts that US Real GDP growth will rise to 5.0 percent (annualized rate) in Q1 21* and 6.0 percent (year-over-year) in </w:t>
      </w:r>
      <w:proofErr w:type="gramStart"/>
      <w:r>
        <w:t>2021.*</w:t>
      </w:r>
      <w:proofErr w:type="gramEnd"/>
      <w:r>
        <w:t xml:space="preserve"> Following a lull in the economic recovery in November and December, growth improved in January before stalling in February due to adverse weather conditions. In March, however, the economic recovery continued to strengthen. We expect real GDP growth to accelerate further over the coming quarters as new COVID-19 infection rates decline further, the vaccination program continues to expand, and a large fiscal support program is fully deployed. Following a robust recovery in 2021, we forecast economic growth of 3.5 percent (year-over-year) in 2022.</w:t>
      </w:r>
    </w:p>
    <w:p w14:paraId="7B81D93B" w14:textId="77777777" w:rsidR="00161138" w:rsidRDefault="00161138" w:rsidP="00161138">
      <w:pPr>
        <w:pStyle w:val="xmsonormal"/>
        <w:shd w:val="clear" w:color="auto" w:fill="FFFFFF"/>
        <w:spacing w:line="450" w:lineRule="atLeast"/>
      </w:pPr>
      <w:r>
        <w:t xml:space="preserve">While the economy has already partially rebounded from the deep contraction in the first half of 2020, a variety of factors will determine the way forward. Key variables </w:t>
      </w:r>
      <w:proofErr w:type="gramStart"/>
      <w:r>
        <w:t>include:</w:t>
      </w:r>
      <w:proofErr w:type="gramEnd"/>
      <w:r>
        <w:t xml:space="preserve"> a) the spread of the virus itself; b) the deployment and effectiveness of COVID-19 vaccines; c) the impact of fiscal and monetary support; d) the status of labor markets and household consumption; and e) the pace at which mobility and travel restrictions are lifted. While there are many possible outcomes for these factors, The Conference Board has generated three potential recovery scenarios based on specific sets of assumptions.</w:t>
      </w:r>
    </w:p>
    <w:p w14:paraId="3F77B840" w14:textId="77777777" w:rsidR="00161138" w:rsidRDefault="00161138" w:rsidP="00161138">
      <w:pPr>
        <w:pStyle w:val="Heading3"/>
        <w:shd w:val="clear" w:color="auto" w:fill="FFFFFF"/>
        <w:spacing w:before="300" w:beforeAutospacing="0" w:after="150" w:afterAutospacing="0" w:line="504" w:lineRule="atLeast"/>
      </w:pPr>
      <w:r>
        <w:t>Base Case Forecast</w:t>
      </w:r>
    </w:p>
    <w:p w14:paraId="6EE446FD" w14:textId="77777777" w:rsidR="00161138" w:rsidRDefault="00161138" w:rsidP="00161138">
      <w:pPr>
        <w:pStyle w:val="xmsonormal"/>
        <w:shd w:val="clear" w:color="auto" w:fill="FFFFFF"/>
        <w:spacing w:line="450" w:lineRule="atLeast"/>
      </w:pPr>
      <w:r>
        <w:t xml:space="preserve">As noted above, our base case forecast yields Q1 21 real GDP growth of 5.0 percent (annualized rate), and an annual expansion of 6.0 percent (year-over-year) in </w:t>
      </w:r>
      <w:proofErr w:type="gramStart"/>
      <w:r>
        <w:t>2021.*</w:t>
      </w:r>
      <w:proofErr w:type="gramEnd"/>
      <w:r>
        <w:t xml:space="preserve"> The recovery will likely </w:t>
      </w:r>
      <w:r>
        <w:lastRenderedPageBreak/>
        <w:t xml:space="preserve">continue into next year and yield an annual growth rate of 3.5 percent (year-over-year) in 2022. We view this scenario as the most probable. It </w:t>
      </w:r>
      <w:proofErr w:type="gramStart"/>
      <w:r>
        <w:t>assumes:</w:t>
      </w:r>
      <w:proofErr w:type="gramEnd"/>
      <w:r>
        <w:t xml:space="preserve"> a) new cases of COVID-19 peaked in early Q1 21 and many social distancing restrictions are subsequently retracted in Q2 21 and Q3 21; b) COVID-19 vaccinations become broadly available in Q2 21, and are universally available in early Q3 21; c) the $1.9 trillion in fiscal support approved in March is deployed in Q2 21 and Q3 21, and d) robust improvements in labor markets and consumption in Q2 21 and Q3 21. In this scenario, US monthly economic output returns to pre-pandemic levels in April 2021.</w:t>
      </w:r>
    </w:p>
    <w:p w14:paraId="46844CA6" w14:textId="77777777" w:rsidR="00161138" w:rsidRDefault="00161138" w:rsidP="00161138">
      <w:pPr>
        <w:pStyle w:val="Heading3"/>
        <w:shd w:val="clear" w:color="auto" w:fill="FFFFFF"/>
        <w:spacing w:before="300" w:beforeAutospacing="0" w:after="150" w:afterAutospacing="0" w:line="504" w:lineRule="atLeast"/>
      </w:pPr>
      <w:r>
        <w:t>Upside Forecast</w:t>
      </w:r>
    </w:p>
    <w:p w14:paraId="5C7D5624" w14:textId="77777777" w:rsidR="00161138" w:rsidRDefault="00161138" w:rsidP="00161138">
      <w:pPr>
        <w:pStyle w:val="xmsonormal"/>
        <w:shd w:val="clear" w:color="auto" w:fill="FFFFFF"/>
        <w:spacing w:line="450" w:lineRule="atLeast"/>
      </w:pPr>
      <w:r>
        <w:t>Alternatively, we offer a second more optimistic scenario in which the economy grows 6.7 percent (year-over-year) in 2021. This scenario assumes: a) new COVID-19 cases fall dramatically over the coming months and all social distancing policies are eliminated in Q2 21; b) vaccines are universally available by the end of Q2 21; c) the $1.9 trillion in fiscal support approved in March is deployed in Q2 21 and Q3 21; d) the new Administrations $2.3 trillion infrastructure and tax plan is passed by Q3 2021 and begins to hit the economy before the end of 2021; and e) faster than expected improvements in labor markets and consumption in Q2 21. In this scenario, US monthly economic output exceeds the level it may have reached had the pandemic never occurred.</w:t>
      </w:r>
    </w:p>
    <w:p w14:paraId="4F5E9B1D" w14:textId="77777777" w:rsidR="00161138" w:rsidRDefault="00161138" w:rsidP="00161138">
      <w:pPr>
        <w:pStyle w:val="Heading3"/>
        <w:shd w:val="clear" w:color="auto" w:fill="FFFFFF"/>
        <w:spacing w:before="300" w:beforeAutospacing="0" w:after="150" w:afterAutospacing="0" w:line="504" w:lineRule="atLeast"/>
      </w:pPr>
      <w:r>
        <w:t>Downside Forecast</w:t>
      </w:r>
    </w:p>
    <w:p w14:paraId="7B7180EC" w14:textId="77777777" w:rsidR="00161138" w:rsidRDefault="00161138" w:rsidP="00161138">
      <w:pPr>
        <w:pStyle w:val="xmsonormal"/>
        <w:shd w:val="clear" w:color="auto" w:fill="FFFFFF"/>
        <w:spacing w:line="450" w:lineRule="atLeast"/>
      </w:pPr>
      <w:r>
        <w:t xml:space="preserve">Finally, we offer a third more pessimistic scenario in which the US economy grows by just 4.9 percent (year-over-year) in 2021. This scenario assumes a) new cases of COVID-19 rise as vaccine-resistant mutations result in an additional wave in Q4 21; b) distribution of vaccines is prolonged and mutations render them ineffective; c) the Federal Reserve signals that it will begin to raise rates earlier than anticipated; d) unemployment deteriorates and the consumption recovery stagnates; and e) a large correction in equity markets hurts consumer and business </w:t>
      </w:r>
      <w:r>
        <w:lastRenderedPageBreak/>
        <w:t>confidence. In this scenario, US monthly economic output drops back below pre-pandemic levels by the end of 2021.</w:t>
      </w:r>
    </w:p>
    <w:p w14:paraId="4C6BD253" w14:textId="77777777" w:rsidR="00161138" w:rsidRDefault="00161138" w:rsidP="00161138">
      <w:pPr>
        <w:pStyle w:val="xmsonormal"/>
        <w:shd w:val="clear" w:color="auto" w:fill="FFFFFF"/>
        <w:spacing w:line="450" w:lineRule="atLeast"/>
      </w:pPr>
      <w:r>
        <w:t>* The Conference Board is upgrading its forecast of 2021 real GDP growth from 5.5 percent (year-over-year) to 6.0 percent (year-over-year). This upgrade is due to stronger than expected economic indicators in Q1 21, the rapid deployment of a $1.9 trillion fiscal support package, and a faster than projected vaccination campaign.</w:t>
      </w:r>
    </w:p>
    <w:p w14:paraId="4BE96C1E" w14:textId="27405663" w:rsidR="00161138" w:rsidRDefault="00161138" w:rsidP="00161138">
      <w:pPr>
        <w:pStyle w:val="xmsonormal"/>
        <w:shd w:val="clear" w:color="auto" w:fill="FFFFFF"/>
        <w:spacing w:line="450" w:lineRule="atLeast"/>
        <w:rPr>
          <w:rFonts w:ascii="Arial" w:hAnsi="Arial" w:cs="Arial"/>
          <w:color w:val="000000"/>
          <w:sz w:val="20"/>
          <w:szCs w:val="20"/>
        </w:rPr>
      </w:pPr>
      <w:r>
        <w:t> </w:t>
      </w:r>
    </w:p>
    <w:p w14:paraId="36C9AD4F" w14:textId="77777777" w:rsidR="00161138" w:rsidRDefault="00161138" w:rsidP="008D01AF"/>
    <w:sectPr w:rsidR="00161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AvenirLTPro-Boo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A7E"/>
    <w:multiLevelType w:val="multilevel"/>
    <w:tmpl w:val="11A0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E2E43"/>
    <w:multiLevelType w:val="multilevel"/>
    <w:tmpl w:val="D7ACA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04550"/>
    <w:multiLevelType w:val="multilevel"/>
    <w:tmpl w:val="BC94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612239"/>
    <w:multiLevelType w:val="multilevel"/>
    <w:tmpl w:val="397E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656FD5"/>
    <w:multiLevelType w:val="multilevel"/>
    <w:tmpl w:val="3D64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FD4558"/>
    <w:multiLevelType w:val="multilevel"/>
    <w:tmpl w:val="F5B4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F9017F"/>
    <w:multiLevelType w:val="multilevel"/>
    <w:tmpl w:val="2578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C3104E"/>
    <w:multiLevelType w:val="multilevel"/>
    <w:tmpl w:val="5402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DE4A0C"/>
    <w:multiLevelType w:val="multilevel"/>
    <w:tmpl w:val="C9A8D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0"/>
  </w:num>
  <w:num w:numId="4">
    <w:abstractNumId w:val="7"/>
  </w:num>
  <w:num w:numId="5">
    <w:abstractNumId w:val="4"/>
  </w:num>
  <w:num w:numId="6">
    <w:abstractNumId w:val="6"/>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D4"/>
    <w:rsid w:val="00161138"/>
    <w:rsid w:val="00380E33"/>
    <w:rsid w:val="00432915"/>
    <w:rsid w:val="0059431D"/>
    <w:rsid w:val="006202F8"/>
    <w:rsid w:val="007E0B3C"/>
    <w:rsid w:val="008D01AF"/>
    <w:rsid w:val="00914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4BB5"/>
  <w15:chartTrackingRefBased/>
  <w15:docId w15:val="{B6C09866-2741-4399-838D-933C3A7F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43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E0B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431D"/>
    <w:rPr>
      <w:rFonts w:ascii="Times New Roman" w:eastAsia="Times New Roman" w:hAnsi="Times New Roman" w:cs="Times New Roman"/>
      <w:b/>
      <w:bCs/>
      <w:sz w:val="27"/>
      <w:szCs w:val="27"/>
    </w:rPr>
  </w:style>
  <w:style w:type="paragraph" w:styleId="NormalWeb">
    <w:name w:val="Normal (Web)"/>
    <w:basedOn w:val="Normal"/>
    <w:uiPriority w:val="99"/>
    <w:unhideWhenUsed/>
    <w:rsid w:val="005943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431D"/>
    <w:rPr>
      <w:rFonts w:ascii="Courier New" w:eastAsia="Times New Roman" w:hAnsi="Courier New" w:cs="Courier New"/>
      <w:sz w:val="20"/>
      <w:szCs w:val="20"/>
    </w:rPr>
  </w:style>
  <w:style w:type="character" w:styleId="Strong">
    <w:name w:val="Strong"/>
    <w:basedOn w:val="DefaultParagraphFont"/>
    <w:uiPriority w:val="22"/>
    <w:qFormat/>
    <w:rsid w:val="0059431D"/>
    <w:rPr>
      <w:b/>
      <w:bCs/>
    </w:rPr>
  </w:style>
  <w:style w:type="character" w:styleId="Hyperlink">
    <w:name w:val="Hyperlink"/>
    <w:basedOn w:val="DefaultParagraphFont"/>
    <w:uiPriority w:val="99"/>
    <w:unhideWhenUsed/>
    <w:rsid w:val="0059431D"/>
    <w:rPr>
      <w:color w:val="0000FF"/>
      <w:u w:val="single"/>
    </w:rPr>
  </w:style>
  <w:style w:type="character" w:styleId="UnresolvedMention">
    <w:name w:val="Unresolved Mention"/>
    <w:basedOn w:val="DefaultParagraphFont"/>
    <w:uiPriority w:val="99"/>
    <w:semiHidden/>
    <w:unhideWhenUsed/>
    <w:rsid w:val="007E0B3C"/>
    <w:rPr>
      <w:color w:val="605E5C"/>
      <w:shd w:val="clear" w:color="auto" w:fill="E1DFDD"/>
    </w:rPr>
  </w:style>
  <w:style w:type="character" w:customStyle="1" w:styleId="Heading4Char">
    <w:name w:val="Heading 4 Char"/>
    <w:basedOn w:val="DefaultParagraphFont"/>
    <w:link w:val="Heading4"/>
    <w:uiPriority w:val="9"/>
    <w:semiHidden/>
    <w:rsid w:val="007E0B3C"/>
    <w:rPr>
      <w:rFonts w:asciiTheme="majorHAnsi" w:eastAsiaTheme="majorEastAsia" w:hAnsiTheme="majorHAnsi" w:cstheme="majorBidi"/>
      <w:i/>
      <w:iCs/>
      <w:color w:val="2F5496" w:themeColor="accent1" w:themeShade="BF"/>
    </w:rPr>
  </w:style>
  <w:style w:type="paragraph" w:customStyle="1" w:styleId="col-xs-12col-md-6">
    <w:name w:val="col-xs-12 col-md-6"/>
    <w:basedOn w:val="Normal"/>
    <w:rsid w:val="007E0B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12pull-left">
    <w:name w:val="col-xs-12 pull-left"/>
    <w:basedOn w:val="Normal"/>
    <w:rsid w:val="007E0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ries-meta-value">
    <w:name w:val="series-meta-value"/>
    <w:basedOn w:val="DefaultParagraphFont"/>
    <w:rsid w:val="007E0B3C"/>
  </w:style>
  <w:style w:type="character" w:customStyle="1" w:styleId="series-meta-value-units">
    <w:name w:val="series-meta-value-units"/>
    <w:basedOn w:val="DefaultParagraphFont"/>
    <w:rsid w:val="007E0B3C"/>
  </w:style>
  <w:style w:type="character" w:customStyle="1" w:styleId="series-meta-value-frequency">
    <w:name w:val="series-meta-value-frequency"/>
    <w:basedOn w:val="DefaultParagraphFont"/>
    <w:rsid w:val="007E0B3C"/>
  </w:style>
  <w:style w:type="paragraph" w:customStyle="1" w:styleId="series-notes">
    <w:name w:val="series-notes"/>
    <w:basedOn w:val="Normal"/>
    <w:rsid w:val="007E0B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tion">
    <w:name w:val="citation"/>
    <w:basedOn w:val="Normal"/>
    <w:rsid w:val="007E0B3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61138"/>
    <w:rPr>
      <w:color w:val="954F72" w:themeColor="followedHyperlink"/>
      <w:u w:val="single"/>
    </w:rPr>
  </w:style>
  <w:style w:type="paragraph" w:customStyle="1" w:styleId="xmsonormal">
    <w:name w:val="xmsonormal"/>
    <w:basedOn w:val="Normal"/>
    <w:rsid w:val="001611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94412">
      <w:bodyDiv w:val="1"/>
      <w:marLeft w:val="0"/>
      <w:marRight w:val="0"/>
      <w:marTop w:val="0"/>
      <w:marBottom w:val="0"/>
      <w:divBdr>
        <w:top w:val="none" w:sz="0" w:space="0" w:color="auto"/>
        <w:left w:val="none" w:sz="0" w:space="0" w:color="auto"/>
        <w:bottom w:val="none" w:sz="0" w:space="0" w:color="auto"/>
        <w:right w:val="none" w:sz="0" w:space="0" w:color="auto"/>
      </w:divBdr>
      <w:divsChild>
        <w:div w:id="371736134">
          <w:marLeft w:val="0"/>
          <w:marRight w:val="0"/>
          <w:marTop w:val="0"/>
          <w:marBottom w:val="0"/>
          <w:divBdr>
            <w:top w:val="none" w:sz="0" w:space="0" w:color="auto"/>
            <w:left w:val="none" w:sz="0" w:space="0" w:color="auto"/>
            <w:bottom w:val="none" w:sz="0" w:space="0" w:color="auto"/>
            <w:right w:val="none" w:sz="0" w:space="0" w:color="auto"/>
          </w:divBdr>
          <w:divsChild>
            <w:div w:id="14199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1450">
      <w:bodyDiv w:val="1"/>
      <w:marLeft w:val="0"/>
      <w:marRight w:val="0"/>
      <w:marTop w:val="0"/>
      <w:marBottom w:val="0"/>
      <w:divBdr>
        <w:top w:val="none" w:sz="0" w:space="0" w:color="auto"/>
        <w:left w:val="none" w:sz="0" w:space="0" w:color="auto"/>
        <w:bottom w:val="none" w:sz="0" w:space="0" w:color="auto"/>
        <w:right w:val="none" w:sz="0" w:space="0" w:color="auto"/>
      </w:divBdr>
      <w:divsChild>
        <w:div w:id="1360006733">
          <w:marLeft w:val="0"/>
          <w:marRight w:val="0"/>
          <w:marTop w:val="0"/>
          <w:marBottom w:val="0"/>
          <w:divBdr>
            <w:top w:val="none" w:sz="0" w:space="0" w:color="auto"/>
            <w:left w:val="none" w:sz="0" w:space="0" w:color="auto"/>
            <w:bottom w:val="none" w:sz="0" w:space="0" w:color="auto"/>
            <w:right w:val="none" w:sz="0" w:space="0" w:color="auto"/>
          </w:divBdr>
          <w:divsChild>
            <w:div w:id="18610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5871">
      <w:bodyDiv w:val="1"/>
      <w:marLeft w:val="0"/>
      <w:marRight w:val="0"/>
      <w:marTop w:val="0"/>
      <w:marBottom w:val="0"/>
      <w:divBdr>
        <w:top w:val="none" w:sz="0" w:space="0" w:color="auto"/>
        <w:left w:val="none" w:sz="0" w:space="0" w:color="auto"/>
        <w:bottom w:val="none" w:sz="0" w:space="0" w:color="auto"/>
        <w:right w:val="none" w:sz="0" w:space="0" w:color="auto"/>
      </w:divBdr>
    </w:div>
    <w:div w:id="1090007819">
      <w:bodyDiv w:val="1"/>
      <w:marLeft w:val="0"/>
      <w:marRight w:val="0"/>
      <w:marTop w:val="0"/>
      <w:marBottom w:val="0"/>
      <w:divBdr>
        <w:top w:val="none" w:sz="0" w:space="0" w:color="auto"/>
        <w:left w:val="none" w:sz="0" w:space="0" w:color="auto"/>
        <w:bottom w:val="none" w:sz="0" w:space="0" w:color="auto"/>
        <w:right w:val="none" w:sz="0" w:space="0" w:color="auto"/>
      </w:divBdr>
      <w:divsChild>
        <w:div w:id="734089641">
          <w:marLeft w:val="0"/>
          <w:marRight w:val="0"/>
          <w:marTop w:val="0"/>
          <w:marBottom w:val="225"/>
          <w:divBdr>
            <w:top w:val="none" w:sz="0" w:space="0" w:color="auto"/>
            <w:left w:val="none" w:sz="0" w:space="0" w:color="auto"/>
            <w:bottom w:val="none" w:sz="0" w:space="0" w:color="auto"/>
            <w:right w:val="none" w:sz="0" w:space="0" w:color="auto"/>
          </w:divBdr>
        </w:div>
        <w:div w:id="1931963790">
          <w:marLeft w:val="0"/>
          <w:marRight w:val="0"/>
          <w:marTop w:val="0"/>
          <w:marBottom w:val="0"/>
          <w:divBdr>
            <w:top w:val="none" w:sz="0" w:space="0" w:color="auto"/>
            <w:left w:val="none" w:sz="0" w:space="0" w:color="auto"/>
            <w:bottom w:val="none" w:sz="0" w:space="0" w:color="auto"/>
            <w:right w:val="none" w:sz="0" w:space="0" w:color="auto"/>
          </w:divBdr>
        </w:div>
        <w:div w:id="49617396">
          <w:marLeft w:val="0"/>
          <w:marRight w:val="0"/>
          <w:marTop w:val="0"/>
          <w:marBottom w:val="0"/>
          <w:divBdr>
            <w:top w:val="none" w:sz="0" w:space="0" w:color="auto"/>
            <w:left w:val="none" w:sz="0" w:space="0" w:color="auto"/>
            <w:bottom w:val="none" w:sz="0" w:space="0" w:color="auto"/>
            <w:right w:val="none" w:sz="0" w:space="0" w:color="auto"/>
          </w:divBdr>
        </w:div>
      </w:divsChild>
    </w:div>
    <w:div w:id="2007634894">
      <w:bodyDiv w:val="1"/>
      <w:marLeft w:val="0"/>
      <w:marRight w:val="0"/>
      <w:marTop w:val="0"/>
      <w:marBottom w:val="0"/>
      <w:divBdr>
        <w:top w:val="none" w:sz="0" w:space="0" w:color="auto"/>
        <w:left w:val="none" w:sz="0" w:space="0" w:color="auto"/>
        <w:bottom w:val="none" w:sz="0" w:space="0" w:color="auto"/>
        <w:right w:val="none" w:sz="0" w:space="0" w:color="auto"/>
      </w:divBdr>
      <w:divsChild>
        <w:div w:id="436099285">
          <w:marLeft w:val="0"/>
          <w:marRight w:val="0"/>
          <w:marTop w:val="0"/>
          <w:marBottom w:val="0"/>
          <w:divBdr>
            <w:top w:val="none" w:sz="0" w:space="0" w:color="auto"/>
            <w:left w:val="none" w:sz="0" w:space="0" w:color="auto"/>
            <w:bottom w:val="none" w:sz="0" w:space="0" w:color="auto"/>
            <w:right w:val="none" w:sz="0" w:space="0" w:color="auto"/>
          </w:divBdr>
          <w:divsChild>
            <w:div w:id="3316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deralreserve.gov/releases/h6/" TargetMode="External"/><Relationship Id="rId13" Type="http://schemas.openxmlformats.org/officeDocument/2006/relationships/hyperlink" Target="http://www.federalreserve.gov/releases/h15/" TargetMode="External"/><Relationship Id="rId18" Type="http://schemas.openxmlformats.org/officeDocument/2006/relationships/hyperlink" Target="http://www.imf.org/external/data.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federalreserve.gov/" TargetMode="External"/><Relationship Id="rId12" Type="http://schemas.openxmlformats.org/officeDocument/2006/relationships/hyperlink" Target="http://www.federalreserve.gov/" TargetMode="External"/><Relationship Id="rId17" Type="http://schemas.openxmlformats.org/officeDocument/2006/relationships/hyperlink" Target="https://www.imf.org/external/index.htm" TargetMode="External"/><Relationship Id="rId2" Type="http://schemas.openxmlformats.org/officeDocument/2006/relationships/styles" Target="styles.xml"/><Relationship Id="rId16" Type="http://schemas.openxmlformats.org/officeDocument/2006/relationships/hyperlink" Target="https://fred.stlouisfed.org/series/INTDSRCNM193N" TargetMode="External"/><Relationship Id="rId20" Type="http://schemas.openxmlformats.org/officeDocument/2006/relationships/hyperlink" Target="https://conference-board.org/research/us-forecast" TargetMode="External"/><Relationship Id="rId1" Type="http://schemas.openxmlformats.org/officeDocument/2006/relationships/numbering" Target="numbering.xml"/><Relationship Id="rId6" Type="http://schemas.openxmlformats.org/officeDocument/2006/relationships/hyperlink" Target="https://fred.stlouisfed.org/series/M2SL" TargetMode="External"/><Relationship Id="rId11" Type="http://schemas.openxmlformats.org/officeDocument/2006/relationships/hyperlink" Target="https://fred.stlouisfed.org/series/FEDFUNDS" TargetMode="External"/><Relationship Id="rId5" Type="http://schemas.openxmlformats.org/officeDocument/2006/relationships/hyperlink" Target="https://www.federalreserve.gov/supervisionreg/ccar.htm" TargetMode="External"/><Relationship Id="rId15" Type="http://schemas.openxmlformats.org/officeDocument/2006/relationships/hyperlink" Target="http://www.federalreserve.gov/monetarypolicy/default.htm" TargetMode="External"/><Relationship Id="rId10" Type="http://schemas.openxmlformats.org/officeDocument/2006/relationships/hyperlink" Target="https://www.federalreserve.gov/releases/h6/h6_technical_qa.htm" TargetMode="External"/><Relationship Id="rId19" Type="http://schemas.openxmlformats.org/officeDocument/2006/relationships/hyperlink" Target="http://www.imf.org/external/terms.htm" TargetMode="External"/><Relationship Id="rId4" Type="http://schemas.openxmlformats.org/officeDocument/2006/relationships/webSettings" Target="webSettings.xml"/><Relationship Id="rId9" Type="http://schemas.openxmlformats.org/officeDocument/2006/relationships/hyperlink" Target="https://www.federalreserve.gov/feeds/h6.html" TargetMode="External"/><Relationship Id="rId14" Type="http://schemas.openxmlformats.org/officeDocument/2006/relationships/hyperlink" Target="https://fred.stlouisfed.org/categories/3395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7</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Jones</dc:creator>
  <cp:keywords/>
  <dc:description/>
  <cp:lastModifiedBy>Jeffrey Jones</cp:lastModifiedBy>
  <cp:revision>5</cp:revision>
  <dcterms:created xsi:type="dcterms:W3CDTF">2021-04-09T19:22:00Z</dcterms:created>
  <dcterms:modified xsi:type="dcterms:W3CDTF">2021-04-23T00:32:00Z</dcterms:modified>
</cp:coreProperties>
</file>