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FE7F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 w:rsidRPr="00205FA8">
        <w:rPr>
          <w:rFonts w:ascii="Rubik-Regular" w:hAnsi="Rubik-Regular" w:cs="Rubik-Regular"/>
          <w:b/>
          <w:bCs/>
          <w:color w:val="333333"/>
          <w:sz w:val="21"/>
          <w:szCs w:val="21"/>
        </w:rPr>
        <w:t>Topic</w:t>
      </w:r>
      <w:r>
        <w:rPr>
          <w:rFonts w:ascii="Rubik-Regular" w:hAnsi="Rubik-Regular" w:cs="Rubik-Regular"/>
          <w:color w:val="333333"/>
          <w:sz w:val="21"/>
          <w:szCs w:val="21"/>
        </w:rPr>
        <w:t xml:space="preserve"> </w:t>
      </w:r>
    </w:p>
    <w:p w14:paraId="3F5B8288" w14:textId="642DFF6E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 w:rsidRPr="00205FA8">
        <w:rPr>
          <w:rFonts w:ascii="Rubik-Bold" w:hAnsi="Rubik-Bold" w:cs="Rubik-Bold"/>
          <w:color w:val="333333"/>
          <w:sz w:val="21"/>
          <w:szCs w:val="21"/>
        </w:rPr>
        <w:t>Distance is the soul of beauty: How do acquaintances reform political ideology?</w:t>
      </w:r>
    </w:p>
    <w:p w14:paraId="1EA026D2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</w:p>
    <w:p w14:paraId="032293D8" w14:textId="00FE0B74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b/>
          <w:bCs/>
          <w:color w:val="333333"/>
          <w:sz w:val="21"/>
          <w:szCs w:val="21"/>
        </w:rPr>
      </w:pPr>
      <w:r w:rsidRPr="00205FA8">
        <w:rPr>
          <w:rFonts w:ascii="Rubik-Regular" w:hAnsi="Rubik-Regular" w:cs="Rubik-Regular"/>
          <w:b/>
          <w:bCs/>
          <w:color w:val="333333"/>
          <w:sz w:val="21"/>
          <w:szCs w:val="21"/>
        </w:rPr>
        <w:t>Author</w:t>
      </w:r>
    </w:p>
    <w:p w14:paraId="2D0A075B" w14:textId="70C75B10" w:rsidR="00205FA8" w:rsidRP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 w:rsidRPr="00205FA8">
        <w:rPr>
          <w:rFonts w:ascii="Rubik-Regular" w:hAnsi="Rubik-Regular" w:cs="Rubik-Regular"/>
          <w:color w:val="333333"/>
          <w:sz w:val="21"/>
          <w:szCs w:val="21"/>
        </w:rPr>
        <w:t>Je-Uei Kuo</w:t>
      </w:r>
      <w:r>
        <w:rPr>
          <w:rFonts w:ascii="Rubik-Regular" w:hAnsi="Rubik-Regular" w:cs="Rubik-Regular"/>
          <w:color w:val="333333"/>
          <w:sz w:val="21"/>
          <w:szCs w:val="21"/>
        </w:rPr>
        <w:t xml:space="preserve"> (email: </w:t>
      </w:r>
      <w:hyperlink r:id="rId4" w:history="1">
        <w:r w:rsidRPr="004A17FA">
          <w:rPr>
            <w:rStyle w:val="Hyperlink"/>
            <w:rFonts w:ascii="Rubik-Regular" w:hAnsi="Rubik-Regular" w:cs="Rubik-Regular"/>
            <w:sz w:val="21"/>
            <w:szCs w:val="21"/>
          </w:rPr>
          <w:t>jeffkuo@gwu.edu</w:t>
        </w:r>
      </w:hyperlink>
      <w:r>
        <w:rPr>
          <w:rFonts w:ascii="Rubik-Regular" w:hAnsi="Rubik-Regular" w:cs="Rubik-Regular"/>
          <w:color w:val="333333"/>
          <w:sz w:val="21"/>
          <w:szCs w:val="21"/>
        </w:rPr>
        <w:t xml:space="preserve">) </w:t>
      </w:r>
      <w:bookmarkStart w:id="0" w:name="_GoBack"/>
      <w:bookmarkEnd w:id="0"/>
    </w:p>
    <w:p w14:paraId="2805394F" w14:textId="77777777" w:rsidR="00205FA8" w:rsidRP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b/>
          <w:bCs/>
          <w:color w:val="333333"/>
          <w:sz w:val="21"/>
          <w:szCs w:val="21"/>
        </w:rPr>
      </w:pPr>
    </w:p>
    <w:p w14:paraId="6E0AB3C3" w14:textId="67A4FBC4" w:rsidR="00205FA8" w:rsidRP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b/>
          <w:bCs/>
          <w:color w:val="333333"/>
          <w:sz w:val="21"/>
          <w:szCs w:val="21"/>
        </w:rPr>
      </w:pPr>
      <w:r w:rsidRPr="00205FA8">
        <w:rPr>
          <w:rFonts w:ascii="Rubik-Regular" w:hAnsi="Rubik-Regular" w:cs="Rubik-Regular"/>
          <w:b/>
          <w:bCs/>
          <w:color w:val="333333"/>
          <w:sz w:val="21"/>
          <w:szCs w:val="21"/>
        </w:rPr>
        <w:t>Abstract</w:t>
      </w:r>
    </w:p>
    <w:p w14:paraId="327A9B18" w14:textId="608E73B3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This empirical paper tests whether the shock of tourism policy, as a part of the trade</w:t>
      </w:r>
    </w:p>
    <w:p w14:paraId="249CBEDD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agreement between two long-separated political identities, changes the constituents'</w:t>
      </w:r>
    </w:p>
    <w:p w14:paraId="2C52E147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political ideology. First, we construct a new data set by merging geographical information</w:t>
      </w:r>
    </w:p>
    <w:p w14:paraId="02993517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into the Taiwanese electoral database. Then, we run a non-parametric regression</w:t>
      </w:r>
    </w:p>
    <w:p w14:paraId="4A967418" w14:textId="47016C93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discontinuity (RD) model to test how the in</w:t>
      </w:r>
      <w:r>
        <w:rPr>
          <w:rFonts w:ascii="Calibri" w:eastAsia="Calibri" w:hAnsi="Calibri" w:cs="Calibri"/>
          <w:color w:val="333333"/>
          <w:sz w:val="21"/>
          <w:szCs w:val="21"/>
        </w:rPr>
        <w:t>fl</w:t>
      </w:r>
      <w:r>
        <w:rPr>
          <w:rFonts w:ascii="Rubik-Regular" w:hAnsi="Rubik-Regular" w:cs="Rubik-Regular"/>
          <w:color w:val="333333"/>
          <w:sz w:val="21"/>
          <w:szCs w:val="21"/>
        </w:rPr>
        <w:t>ux of Chinese tourists a</w:t>
      </w:r>
      <w:r>
        <w:rPr>
          <w:rFonts w:ascii="Calibri" w:eastAsia="Calibri" w:hAnsi="Calibri" w:cs="Calibri"/>
          <w:color w:val="333333"/>
          <w:sz w:val="21"/>
          <w:szCs w:val="21"/>
        </w:rPr>
        <w:t>ff</w:t>
      </w:r>
      <w:r>
        <w:rPr>
          <w:rFonts w:ascii="Rubik-Regular" w:hAnsi="Rubik-Regular" w:cs="Rubik-Regular"/>
          <w:color w:val="333333"/>
          <w:sz w:val="21"/>
          <w:szCs w:val="21"/>
        </w:rPr>
        <w:t>ects the election</w:t>
      </w:r>
    </w:p>
    <w:p w14:paraId="08F0942B" w14:textId="4BA580C1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results. Speci</w:t>
      </w:r>
      <w:r>
        <w:rPr>
          <w:rFonts w:ascii="Calibri" w:eastAsia="Calibri" w:hAnsi="Calibri" w:cs="Calibri"/>
          <w:color w:val="333333"/>
          <w:sz w:val="21"/>
          <w:szCs w:val="21"/>
        </w:rPr>
        <w:t>fi</w:t>
      </w:r>
      <w:r>
        <w:rPr>
          <w:rFonts w:ascii="Rubik-Regular" w:hAnsi="Rubik-Regular" w:cs="Rubik-Regular"/>
          <w:color w:val="333333"/>
          <w:sz w:val="21"/>
          <w:szCs w:val="21"/>
        </w:rPr>
        <w:t>cally, we use district-level electoral data from multiple highest-level</w:t>
      </w:r>
    </w:p>
    <w:p w14:paraId="1070D8C4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elections in Taiwan and take the travel time to the primary airport as a proxy of tourist</w:t>
      </w:r>
    </w:p>
    <w:p w14:paraId="543891F2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exposure. With appropriate assumptions on the RD model, we show that electoral districts</w:t>
      </w:r>
    </w:p>
    <w:p w14:paraId="1943DA57" w14:textId="0C0D65E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with more exposure to tourists coming from the con</w:t>
      </w:r>
      <w:r>
        <w:rPr>
          <w:rFonts w:ascii="Calibri" w:eastAsia="Calibri" w:hAnsi="Calibri" w:cs="Calibri"/>
          <w:color w:val="333333"/>
          <w:sz w:val="21"/>
          <w:szCs w:val="21"/>
        </w:rPr>
        <w:t>f</w:t>
      </w:r>
      <w:r>
        <w:rPr>
          <w:rFonts w:ascii="Rubik-Regular" w:hAnsi="Rubik-Regular" w:cs="Rubik-Regular"/>
          <w:color w:val="333333"/>
          <w:sz w:val="21"/>
          <w:szCs w:val="21"/>
        </w:rPr>
        <w:t>ict region have encountered larger</w:t>
      </w:r>
      <w:r>
        <w:rPr>
          <w:rFonts w:ascii="Rubik-Regular" w:hAnsi="Rubik-Regular" w:cs="Rubik-Regular"/>
          <w:color w:val="333333"/>
          <w:sz w:val="21"/>
          <w:szCs w:val="21"/>
        </w:rPr>
        <w:t xml:space="preserve"> </w:t>
      </w:r>
      <w:r>
        <w:rPr>
          <w:rFonts w:ascii="Rubik-Regular" w:hAnsi="Rubik-Regular" w:cs="Rubik-Regular"/>
          <w:color w:val="333333"/>
          <w:sz w:val="21"/>
          <w:szCs w:val="21"/>
        </w:rPr>
        <w:t>scale</w:t>
      </w:r>
    </w:p>
    <w:p w14:paraId="5B1C04E2" w14:textId="24494F8A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ideological realignments over the past decade.</w:t>
      </w:r>
    </w:p>
    <w:p w14:paraId="2B7D326E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</w:p>
    <w:p w14:paraId="5CF444AA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 xml:space="preserve">We interpret the empirical results of the policy experiment at two levels. In general, </w:t>
      </w:r>
      <w:proofErr w:type="gramStart"/>
      <w:r>
        <w:rPr>
          <w:rFonts w:ascii="Rubik-Regular" w:hAnsi="Rubik-Regular" w:cs="Rubik-Regular"/>
          <w:color w:val="333333"/>
          <w:sz w:val="21"/>
          <w:szCs w:val="21"/>
        </w:rPr>
        <w:t>our</w:t>
      </w:r>
      <w:proofErr w:type="gramEnd"/>
    </w:p>
    <w:p w14:paraId="21FB238C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results challenge the contact hypothesis advocated by the socialist Gordon W. Allport as</w:t>
      </w:r>
    </w:p>
    <w:p w14:paraId="3A8F7A04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well as prevailing economic integration theory. First, from the micro perspective, according</w:t>
      </w:r>
    </w:p>
    <w:p w14:paraId="2D48C239" w14:textId="03BDC5E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to our results, greater interactions between the con</w:t>
      </w:r>
      <w:r>
        <w:rPr>
          <w:rFonts w:ascii="Calibri" w:eastAsia="Calibri" w:hAnsi="Calibri" w:cs="Calibri"/>
          <w:color w:val="333333"/>
          <w:sz w:val="21"/>
          <w:szCs w:val="21"/>
        </w:rPr>
        <w:t>fl</w:t>
      </w:r>
      <w:r>
        <w:rPr>
          <w:rFonts w:ascii="Rubik-Regular" w:hAnsi="Rubik-Regular" w:cs="Rubik-Regular"/>
          <w:color w:val="333333"/>
          <w:sz w:val="21"/>
          <w:szCs w:val="21"/>
        </w:rPr>
        <w:t>icted groups do not help alleviate the</w:t>
      </w:r>
    </w:p>
    <w:p w14:paraId="5B4FC538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stereotype between them nor help form a new sense of belongingness. Instead, they</w:t>
      </w:r>
    </w:p>
    <w:p w14:paraId="1E4DDE3F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enhance prejudice, perhaps due to the representative bias of the tourists or the existing</w:t>
      </w:r>
    </w:p>
    <w:p w14:paraId="2C53D5C1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cultural distinctions. Secondly, from the relatively macro perspectives, our results</w:t>
      </w:r>
    </w:p>
    <w:p w14:paraId="273C0FCD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demonstrate that more economic integration, such as the trade agreement and</w:t>
      </w:r>
    </w:p>
    <w:p w14:paraId="4636F846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international tourism, does not necessarily bring about more institutional integration, let</w:t>
      </w:r>
    </w:p>
    <w:p w14:paraId="45DF763D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alone the existing advocate-formed theory that economic integration would further help</w:t>
      </w:r>
    </w:p>
    <w:p w14:paraId="28C7CFB6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political convergence. On the contrary, districts with higher exposure to Chinese tourists</w:t>
      </w:r>
    </w:p>
    <w:p w14:paraId="147852E2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are statistically encountering larger scale political-ideological realignment after the policy</w:t>
      </w:r>
    </w:p>
    <w:p w14:paraId="671072CE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shocks starting in 2008. A few northern cities in Taiwan gradually swung their votes to</w:t>
      </w:r>
    </w:p>
    <w:p w14:paraId="7D112658" w14:textId="3344BB19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 xml:space="preserve">favor the parties and distanced themselves from China after the </w:t>
      </w:r>
      <w:r>
        <w:rPr>
          <w:rFonts w:ascii="Calibri" w:eastAsia="Calibri" w:hAnsi="Calibri" w:cs="Calibri"/>
          <w:color w:val="333333"/>
          <w:sz w:val="21"/>
          <w:szCs w:val="21"/>
        </w:rPr>
        <w:t>fi</w:t>
      </w:r>
      <w:r>
        <w:rPr>
          <w:rFonts w:ascii="Rubik-Regular" w:hAnsi="Rubik-Regular" w:cs="Rubik-Regular"/>
          <w:color w:val="333333"/>
          <w:sz w:val="21"/>
          <w:szCs w:val="21"/>
        </w:rPr>
        <w:t>rst direct Presidential</w:t>
      </w:r>
    </w:p>
    <w:p w14:paraId="15F8F22F" w14:textId="7D0482DE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election in Taiwan in 1996.</w:t>
      </w:r>
    </w:p>
    <w:p w14:paraId="311D87D8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</w:p>
    <w:p w14:paraId="0A6FC46D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As our data and results display, either the higher voting rate or the border margin on the</w:t>
      </w:r>
    </w:p>
    <w:p w14:paraId="7CCF4AC8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outcomes of the latest elections show that the pro-China and economic-oriented policies</w:t>
      </w:r>
    </w:p>
    <w:p w14:paraId="3774DBE9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are not as attractive as they were before. Furthermore, the higher degree of integration</w:t>
      </w:r>
    </w:p>
    <w:p w14:paraId="192539DC" w14:textId="72B79402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across the strait and the increased pro</w:t>
      </w:r>
      <w:r>
        <w:rPr>
          <w:rFonts w:ascii="Calibri" w:eastAsia="Calibri" w:hAnsi="Calibri" w:cs="Calibri"/>
          <w:color w:val="333333"/>
          <w:sz w:val="21"/>
          <w:szCs w:val="21"/>
        </w:rPr>
        <w:t>fi</w:t>
      </w:r>
      <w:r>
        <w:rPr>
          <w:rFonts w:ascii="Rubik-Regular" w:hAnsi="Rubik-Regular" w:cs="Rubik-Regular"/>
          <w:color w:val="333333"/>
          <w:sz w:val="21"/>
          <w:szCs w:val="21"/>
        </w:rPr>
        <w:t>ts that China has surrendered to Taiwan have not</w:t>
      </w:r>
    </w:p>
    <w:p w14:paraId="442979F3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created the consequence that Beijing expected. In contrast, the policies further help</w:t>
      </w:r>
    </w:p>
    <w:p w14:paraId="06382EA1" w14:textId="54F1336C" w:rsidR="006D5C7E" w:rsidRDefault="00205FA8" w:rsidP="00205FA8">
      <w:pPr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delineate the pro-separation and pro-independence generations in modern Taiwan.</w:t>
      </w:r>
    </w:p>
    <w:p w14:paraId="6E1D43DC" w14:textId="40BD0D07" w:rsidR="00205FA8" w:rsidRPr="00205FA8" w:rsidRDefault="00205FA8" w:rsidP="00205FA8">
      <w:pPr>
        <w:rPr>
          <w:rFonts w:ascii="Rubik-Regular" w:hAnsi="Rubik-Regular" w:cs="Rubik-Regular"/>
          <w:b/>
          <w:bCs/>
          <w:color w:val="333333"/>
          <w:sz w:val="21"/>
          <w:szCs w:val="21"/>
        </w:rPr>
      </w:pPr>
      <w:r w:rsidRPr="00205FA8">
        <w:rPr>
          <w:rFonts w:ascii="Rubik-Regular" w:hAnsi="Rubik-Regular" w:cs="Rubik-Regular"/>
          <w:b/>
          <w:bCs/>
          <w:color w:val="333333"/>
          <w:sz w:val="21"/>
          <w:szCs w:val="21"/>
        </w:rPr>
        <w:t>JEL Category</w:t>
      </w:r>
    </w:p>
    <w:p w14:paraId="500E3536" w14:textId="70ABC577" w:rsidR="00205FA8" w:rsidRPr="00205FA8" w:rsidRDefault="00205FA8" w:rsidP="00205FA8">
      <w:r>
        <w:rPr>
          <w:rFonts w:ascii="Rubik-Regular" w:hAnsi="Rubik-Regular" w:cs="Rubik-Regular"/>
          <w:color w:val="333333"/>
          <w:sz w:val="21"/>
          <w:szCs w:val="21"/>
        </w:rPr>
        <w:t>F15 Trade Liberalization and Economic Integration</w:t>
      </w:r>
    </w:p>
    <w:sectPr w:rsidR="00205FA8" w:rsidRPr="0020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ubik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A8"/>
    <w:rsid w:val="00205FA8"/>
    <w:rsid w:val="003574C9"/>
    <w:rsid w:val="006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56D6"/>
  <w15:chartTrackingRefBased/>
  <w15:docId w15:val="{38729D73-83E0-4E2B-B46E-63F63BB9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ffkuo@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Jeffrey</dc:creator>
  <cp:keywords/>
  <dc:description/>
  <cp:lastModifiedBy>Kuo, Jeffrey</cp:lastModifiedBy>
  <cp:revision>1</cp:revision>
  <dcterms:created xsi:type="dcterms:W3CDTF">2020-07-06T15:01:00Z</dcterms:created>
  <dcterms:modified xsi:type="dcterms:W3CDTF">2020-07-06T15:05:00Z</dcterms:modified>
</cp:coreProperties>
</file>