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Triton </w:t>
      </w:r>
      <w:commentRangeStart w:id="0"/>
      <w:r w:rsidDel="00000000" w:rsidR="00000000" w:rsidRPr="00000000">
        <w:rPr>
          <w:rFonts w:ascii="Times New Roman" w:cs="Times New Roman" w:eastAsia="Times New Roman" w:hAnsi="Times New Roman"/>
          <w:sz w:val="36"/>
          <w:szCs w:val="36"/>
          <w:rtl w:val="0"/>
        </w:rPr>
        <w:t xml:space="preserve">Combat</w:t>
      </w:r>
      <w:commentRangeEnd w:id="0"/>
      <w:r w:rsidDel="00000000" w:rsidR="00000000" w:rsidRPr="00000000">
        <w:commentReference w:id="0"/>
      </w:r>
      <w:r w:rsidDel="00000000" w:rsidR="00000000" w:rsidRPr="00000000">
        <w:rPr>
          <w:rFonts w:ascii="Times New Roman" w:cs="Times New Roman" w:eastAsia="Times New Roman" w:hAnsi="Times New Roman"/>
          <w:sz w:val="36"/>
          <w:szCs w:val="36"/>
          <w:rtl w:val="0"/>
        </w:rPr>
        <w:t xml:space="preserve"> Robots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Constitution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Article I: Name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name of this organization is Triton Combat Robots, henceforth referred to as such, or as “TCR.”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Article II: Statement of Purpose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purpose of TCR shall be an </w:t>
      </w:r>
      <w:commentRangeStart w:id="1"/>
      <w:r w:rsidDel="00000000" w:rsidR="00000000" w:rsidRPr="00000000">
        <w:rPr>
          <w:rFonts w:ascii="Times New Roman" w:cs="Times New Roman" w:eastAsia="Times New Roman" w:hAnsi="Times New Roman"/>
          <w:sz w:val="24"/>
          <w:szCs w:val="24"/>
          <w:rtl w:val="0"/>
        </w:rPr>
        <w:t xml:space="preserve">educational</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society that seeks to promote interest and involvement the field of robotics through the participation in robotics competitions.  TCR is a non-profit organization.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commentRangeStart w:id="2"/>
      <w:commentRangeStart w:id="3"/>
      <w:r w:rsidDel="00000000" w:rsidR="00000000" w:rsidRPr="00000000">
        <w:rPr>
          <w:rFonts w:ascii="Times New Roman" w:cs="Times New Roman" w:eastAsia="Times New Roman" w:hAnsi="Times New Roman"/>
          <w:b w:val="1"/>
          <w:sz w:val="28"/>
          <w:szCs w:val="28"/>
          <w:rtl w:val="0"/>
        </w:rPr>
        <w:t xml:space="preserve">Article III: Structure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Section 3.1: Members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Membership is open to all students, faculty, and staff registered at UCSD. </w:t>
      </w:r>
      <w:commentRangeStart w:id="4"/>
      <w:r w:rsidDel="00000000" w:rsidR="00000000" w:rsidRPr="00000000">
        <w:rPr>
          <w:rFonts w:ascii="Times New Roman" w:cs="Times New Roman" w:eastAsia="Times New Roman" w:hAnsi="Times New Roman"/>
          <w:sz w:val="24"/>
          <w:szCs w:val="24"/>
          <w:rtl w:val="0"/>
        </w:rPr>
        <w:t xml:space="preserve"> All student members are voting members of TCR</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Each project will have a separate membership that is open to all general members that will require registration.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Section 3.2: Administrative Officers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administrative officers of the Executive Board shall consist of a President, Vice President External, Vice President Internal, and Treasurer.  Additionally, a project leader will be selected by the members of EBoard. Each project leader can be project leader of no more than one project at a time.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Article IV: Executive Board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Section 4.1: Elected Positions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All Executive Board officers will serve a one-year term, beginning in the spring of the academic year in which they were elected and ending in the spring of the following academic year.  No individual may hold more than one Executive Board position. Executive Board members must actively participate as team members on no fewer than one TCR project during the entire academic school year.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Section 4.2: Vacancies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If an elected position becomes vacant before the end of the officer’s term, the Executive Board has the power to nominate and elect by a simple majority a new officer who will serve until elections of that academic year.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Section 4.3: Executive Board Positions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Executive Board consists of the following officers: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President: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The President must oversee all major actions taken by TCR, preside in a parliamentary manner over all TCR meetings, distribute responsibilities among officers, review all outgoing communications, ensure competition registration, attend all meetings and functions, run general body meetings, call for committee reports, and ensure continuity and execution of all undertakings of TCR.  Additionally, the President may create ad hoc committees which are to operate until they complete their objective or the end of the academic year at which point their continued operation must be approved by the new Executive Board.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Vice President External: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The Vice President External must serve as a liaison to sponsors and other organizations at UCSD, drafting and sending newsletters for members, drafting and sending newsletters for sponsors, develop the image of TCR, search for sponsorship opportunities, maintain relationships with sponsors, recruit new members, and act alongside Vice President Internal in the President’s absence.  Additionally, the Vice President External oversees TCRs website and social media, searches for new competitions for possible participation, and seek opportunities for TCR’s members.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Vice President Internal: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The Vice President Internal must oversee TCR project development, reserve rooms through Triton Activities Planner, work with Treasurer to purchase materials, tools, and services for TCR’s projects, maintain an inventory list of all materials, parts, and tools used or owned by TCR, maintain a roster of all TCR members, plan and execute at least one social event per quarter, ensure that TCR complies with all rules and regulations imposed upon it, and act alongside Vice President External in the President’s absence.  Additionally, the Vice President Internal oversees the organization of TCR’s project team(s) and serves as a liaison between the Executive Board and all of TCR’s teams and committees.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Treasurer: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The Treasurer must prepare an initial TCR budget at the beginning of the academic year, review and revise the budget if there are any indications that income or expenses are other than anticipated, keep a record of TCR income and expenses, maintain the TCR bank account, prepare a cost report for competition purposes, obtain cost estimates of all proposed projects and events, advise Executive Board on TCR’s financial status, give a full financial report at every Executive meeting, and approve all purchases by TCR.  Additionally, the Treasurer must prepare an end of year financial report at the last Executive meeting and distribute all reimbursements at the end of the academic year; they must do this even if they are no longer in office after elections of that academic year.</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Educational Director:</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The Educational Director must plan workshops to aid members of TCR in their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understanding of robotics, attend all meetings to learn what the most outstanding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educational needs of members of TCR are and communicate with project managers to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determine the members outstanding educational needs, and collaborate with internal chair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to schedule workshops and reserve meeting locations.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Article V: Meetings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Section 5.1: Executive Board Meetings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Executive Board meetings shall be defined as a meeting where the Executive Board discusses issues relating to their functions as defined in this document and TCR’s bylaws.  Their meetings are closed to the public, but open to invited guests.  These meetings should occur at least every other week or at the behest of the President.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Section 5.2: General Body Meetings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General Body meetings shall be defined as any other gathering of TCR members.  These meetings are open to the public and must occur at least once a quarter.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Article VI: Elections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Section 6.1: Election Timeline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Elections shall take place in the spring term of the academic year, no later than week 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Section 6.2: Election Votes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Executive Board officers shall be elected by a simple majority of all voting members present at elections.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Section 6.3: Multiple Positions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 person may run for more than one position.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Article VII: Amendments to the Constitution and </w:t>
      </w:r>
      <w:commentRangeStart w:id="5"/>
      <w:r w:rsidDel="00000000" w:rsidR="00000000" w:rsidRPr="00000000">
        <w:rPr>
          <w:rFonts w:ascii="Times New Roman" w:cs="Times New Roman" w:eastAsia="Times New Roman" w:hAnsi="Times New Roman"/>
          <w:b w:val="1"/>
          <w:sz w:val="28"/>
          <w:szCs w:val="28"/>
          <w:rtl w:val="0"/>
        </w:rPr>
        <w:t xml:space="preserve">Bylaws</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Section 7.1: Amendment Submission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Proposals for amendments to this document or the bylaws must be submitted in writing to the Executive Board.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Section 7.2: Special Meeting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special meeting for all voting members will be scheduled within 3 weeks of the Executive Board receiving an amendment proposal.  The amendment proposal will be discussed and voted upon at the special meeting.  This meeting is open to the public.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Section 7.3: Constitutional Amendment Vote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proposed amendment to this document will become effective immediately if two thirds of all voting members present at the special meeting vote affirmative.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Section 7.4: Bylaw Amendment Vote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proposed amendment to the bylaws will become effective immediately if a simple majority of all voting members present at the special meeting vote affirmative.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Sections 7.5: Conflictions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 bylaw amendment may be adopted that conflicts with this document.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Philip deZonia" w:id="2" w:date="2015-08-18T03:48: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Structure needs to be fleshed out more. How will project teams be organized and how are their leaders appointed? This may be best decided in a meeting.</w:t>
      </w:r>
    </w:p>
  </w:comment>
  <w:comment w:author="Jeffrey Wang" w:id="3" w:date="2015-08-18T03:48: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believe each project lead/manager should be voted in after a pitch (kinda like divE; if you have a project you want to do, make a pitch to e-board and we'll give you resources). That makes each project more autonomous</w:t>
      </w:r>
    </w:p>
  </w:comment>
  <w:comment w:author="Philip deZonia" w:id="5" w:date="2015-08-17T22:27: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Bylaws are a separate document that contain policies voted on by the general body</w:t>
      </w:r>
    </w:p>
  </w:comment>
  <w:comment w:author="Philip deZonia" w:id="0" w:date="2015-08-17T22:23: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Name pending</w:t>
      </w:r>
    </w:p>
  </w:comment>
  <w:comment w:author="Philip deZonia" w:id="1" w:date="2015-08-17T22:24: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remember what type of org we agreed upon so I just chose one. Please rectify.</w:t>
      </w:r>
    </w:p>
  </w:comment>
  <w:comment w:author="Jeffrey Wang" w:id="4" w:date="2015-08-18T03:46: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undergrad students? Cuz we want that AS funding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