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律師事務所模擬器美術設定與製作資源清單"/>
    <w:p>
      <w:pPr>
        <w:pStyle w:val="Heading1"/>
      </w:pPr>
      <w:r>
        <w:t xml:space="preserve">律師事務所模擬器｜美術設定與製作資源清單</w:t>
      </w:r>
    </w:p>
    <w:p>
      <w:pPr>
        <w:pStyle w:val="FirstParagraph"/>
        <w:widowControl/>
      </w:pPr>
      <w:r>
        <w:rPr>
          <w:rFonts w:ascii="Noto Sans CJK TC" w:hAnsi="Noto Sans CJK TC" w:eastAsia="Noto Sans CJK TC" w:cs="Noto Sans CJK TC"/>
          <w:sz w:val="19"/>
        </w:rPr>
        <w:t xml:space="preserve">版本：v0.1；搭配《遊戲設計文件與產品需求》及視覺簡報使用。</w:t>
      </w:r>
    </w:p>
    <w:p>
      <w:pPr>
        <w:pStyle w:val="BodyText"/>
        <w:widowControl/>
      </w:pPr>
      <w:r>
        <w:rPr>
          <w:rFonts w:ascii="Noto Sans CJK TC" w:hAnsi="Noto Sans CJK TC" w:eastAsia="Noto Sans CJK TC" w:cs="Noto Sans CJK TC"/>
          <w:sz w:val="19"/>
        </w:rPr>
        <w:t xml:space="preserve">本文件是</w:t>
      </w:r>
      <w:r>
        <w:rPr>
          <w:rFonts w:ascii="Noto Sans CJK TC" w:hAnsi="Noto Sans CJK TC" w:eastAsia="Noto Sans CJK TC" w:cs="Noto Sans CJK TC"/>
          <w:b/>
          <w:bCs/>
          <w:sz w:val="19"/>
        </w:rPr>
        <w:t xml:space="preserve">可派工的美術需求表</w:t>
      </w:r>
      <w:r>
        <w:rPr>
          <w:rFonts w:ascii="Noto Sans CJK TC" w:hAnsi="Noto Sans CJK TC" w:eastAsia="Noto Sans CJK TC" w:cs="Noto Sans CJK TC"/>
          <w:sz w:val="19"/>
        </w:rPr>
        <w:t xml:space="preserve">。簡報附的概念圖用來確認風格、構圖、角色及城市差異；除非另有逐格驗收與交付，不把概念圖當成已完成的可直接匯入精靈、地圖格或動畫。本清單所有項目目前皆為「待製作」。</w:t>
      </w:r>
    </w:p>
    <w:p>
      <w:pPr>
        <w:pStyle w:val="BodyText"/>
        <w:widowControl/>
      </w:pPr>
      <w:r>
        <w:rPr>
          <w:rFonts w:ascii="Noto Sans CJK TC" w:hAnsi="Noto Sans CJK TC" w:eastAsia="Noto Sans CJK TC" w:cs="Noto Sans CJK TC"/>
          <w:b/>
          <w:bCs/>
          <w:sz w:val="19"/>
        </w:rPr>
        <w:t xml:space="preserve">範圍排除：不含音樂，也不含任何音訊製作；音樂由使用者自行完成，不重複估列。</w:t>
      </w:r>
    </w:p>
    <w:bookmarkStart w:id="22" w:name="統一美術方向"/>
    <w:p>
      <w:pPr>
        <w:pStyle w:val="Heading2"/>
      </w:pPr>
      <w:r>
        <w:t xml:space="preserve">1. 統一美術方向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Noto Sans CJK TC" w:hAnsi="Noto Sans CJK TC" w:eastAsia="Noto Sans CJK TC" w:cs="Noto Sans CJK TC"/>
          <w:b/>
          <w:bCs/>
          <w:sz w:val="19"/>
        </w:rPr>
        <w:t xml:space="preserve">題材與氛圍：</w:t>
      </w:r>
      <w:r>
        <w:rPr>
          <w:rFonts w:ascii="Noto Sans CJK TC" w:hAnsi="Noto Sans CJK TC" w:eastAsia="Noto Sans CJK TC" w:cs="Noto Sans CJK TC"/>
          <w:sz w:val="19"/>
        </w:rPr>
        <w:t xml:space="preserve"> </w:t>
      </w:r>
      <w:r>
        <w:rPr>
          <w:rFonts w:ascii="Noto Sans CJK TC" w:hAnsi="Noto Sans CJK TC" w:eastAsia="Noto Sans CJK TC" w:cs="Noto Sans CJK TC"/>
          <w:sz w:val="19"/>
        </w:rPr>
        <w:t xml:space="preserve">臺灣當代律師職場。低彩度木色、紙張、藍灰西裝與雨天窗景，保留早餐袋、飲水機、冷氣、案卷堆等生活細節。幽默來自工作與人物表情，不以華麗法庭奇觀為中心。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Noto Sans CJK TC" w:hAnsi="Noto Sans CJK TC" w:eastAsia="Noto Sans CJK TC" w:cs="Noto Sans CJK TC"/>
          <w:b/>
          <w:bCs/>
          <w:sz w:val="19"/>
        </w:rPr>
        <w:t xml:space="preserve">視角：</w:t>
      </w:r>
      <w:r>
        <w:rPr>
          <w:rFonts w:ascii="Noto Sans CJK TC" w:hAnsi="Noto Sans CJK TC" w:eastAsia="Noto Sans CJK TC" w:cs="Noto Sans CJK TC"/>
          <w:sz w:val="19"/>
        </w:rPr>
        <w:t xml:space="preserve"> </w:t>
      </w:r>
      <w:r>
        <w:rPr>
          <w:rFonts w:ascii="Noto Sans CJK TC" w:hAnsi="Noto Sans CJK TC" w:eastAsia="Noto Sans CJK TC" w:cs="Noto Sans CJK TC"/>
          <w:sz w:val="19"/>
        </w:rPr>
        <w:t xml:space="preserve">2D 正交斜俯視，約三分之四俯視；同一遊戲不要混用等角菱形地板與正交32格網。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Noto Sans CJK TC" w:hAnsi="Noto Sans CJK TC" w:eastAsia="Noto Sans CJK TC" w:cs="Noto Sans CJK TC"/>
          <w:b/>
          <w:bCs/>
          <w:sz w:val="19"/>
        </w:rPr>
        <w:t xml:space="preserve">畫布：</w:t>
      </w:r>
      <w:r>
        <w:rPr>
          <w:rFonts w:ascii="Noto Sans CJK TC" w:hAnsi="Noto Sans CJK TC" w:eastAsia="Noto Sans CJK TC" w:cs="Noto Sans CJK TC"/>
          <w:sz w:val="19"/>
        </w:rPr>
        <w:t xml:space="preserve"> </w:t>
      </w:r>
      <w:r>
        <w:rPr>
          <w:rFonts w:ascii="Noto Sans CJK TC" w:hAnsi="Noto Sans CJK TC" w:eastAsia="Noto Sans CJK TC" w:cs="Noto Sans CJK TC"/>
          <w:sz w:val="19"/>
        </w:rPr>
        <w:t xml:space="preserve">場景基準640×360，桌面預設1280×720；nearest濾波、整數倍縮放。文字與UI獨立，長寬比不同時留邊或重新排版。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Noto Sans CJK TC" w:hAnsi="Noto Sans CJK TC" w:eastAsia="Noto Sans CJK TC" w:cs="Noto Sans CJK TC"/>
          <w:b/>
          <w:bCs/>
          <w:sz w:val="19"/>
        </w:rPr>
        <w:t xml:space="preserve">像素密度：</w:t>
      </w:r>
      <w:r>
        <w:rPr>
          <w:rFonts w:ascii="Noto Sans CJK TC" w:hAnsi="Noto Sans CJK TC" w:eastAsia="Noto Sans CJK TC" w:cs="Noto Sans CJK TC"/>
          <w:sz w:val="19"/>
        </w:rPr>
        <w:t xml:space="preserve"> </w:t>
      </w:r>
      <w:r>
        <w:rPr>
          <w:rFonts w:ascii="Noto Sans CJK TC" w:hAnsi="Noto Sans CJK TC" w:eastAsia="Noto Sans CJK TC" w:cs="Noto Sans CJK TC"/>
          <w:sz w:val="19"/>
        </w:rPr>
        <w:t xml:space="preserve">地圖格32×32；人物單格32×48。家具寬高採16或32的倍數；有意使用的16×16桌面物件需與同場角色比例一致。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Noto Sans CJK TC" w:hAnsi="Noto Sans CJK TC" w:eastAsia="Noto Sans CJK TC" w:cs="Noto Sans CJK TC"/>
          <w:b/>
          <w:bCs/>
          <w:sz w:val="19"/>
        </w:rPr>
        <w:t xml:space="preserve">人物：</w:t>
      </w:r>
      <w:r>
        <w:rPr>
          <w:rFonts w:ascii="Noto Sans CJK TC" w:hAnsi="Noto Sans CJK TC" w:eastAsia="Noto Sans CJK TC" w:cs="Noto Sans CJK TC"/>
          <w:sz w:val="19"/>
        </w:rPr>
        <w:t xml:space="preserve"> </w:t>
      </w:r>
      <w:r>
        <w:rPr>
          <w:rFonts w:ascii="Noto Sans CJK TC" w:hAnsi="Noto Sans CJK TC" w:eastAsia="Noto Sans CJK TC" w:cs="Noto Sans CJK TC"/>
          <w:sz w:val="19"/>
        </w:rPr>
        <w:t xml:space="preserve">約三頭身、腳點對齊(16,44)。性別只影響外觀；不以服裝、膚色、年齡或性別直接表示能力高低。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Noto Sans CJK TC" w:hAnsi="Noto Sans CJK TC" w:eastAsia="Noto Sans CJK TC" w:cs="Noto Sans CJK TC"/>
          <w:b/>
          <w:bCs/>
          <w:sz w:val="19"/>
        </w:rPr>
        <w:t xml:space="preserve">光影：</w:t>
      </w:r>
      <w:r>
        <w:rPr>
          <w:rFonts w:ascii="Noto Sans CJK TC" w:hAnsi="Noto Sans CJK TC" w:eastAsia="Noto Sans CJK TC" w:cs="Noto Sans CJK TC"/>
          <w:sz w:val="19"/>
        </w:rPr>
        <w:t xml:space="preserve"> </w:t>
      </w:r>
      <w:r>
        <w:rPr>
          <w:rFonts w:ascii="Noto Sans CJK TC" w:hAnsi="Noto Sans CJK TC" w:eastAsia="Noto Sans CJK TC" w:cs="Noto Sans CJK TC"/>
          <w:sz w:val="19"/>
        </w:rPr>
        <w:t xml:space="preserve">統一左上主光，每種材質約2–4階明暗；輪廓清楚、陰影以硬邊色塊處理，不使用平滑漸層、柔焦或抗鋸齒邊。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Noto Sans CJK TC" w:hAnsi="Noto Sans CJK TC" w:eastAsia="Noto Sans CJK TC" w:cs="Noto Sans CJK TC"/>
          <w:b/>
          <w:bCs/>
          <w:sz w:val="19"/>
        </w:rPr>
        <w:t xml:space="preserve">字體：</w:t>
      </w:r>
      <w:r>
        <w:rPr>
          <w:rFonts w:ascii="Noto Sans CJK TC" w:hAnsi="Noto Sans CJK TC" w:eastAsia="Noto Sans CJK TC" w:cs="Noto Sans CJK TC"/>
          <w:sz w:val="19"/>
        </w:rPr>
        <w:t xml:space="preserve"> </w:t>
      </w:r>
      <w:r>
        <w:rPr>
          <w:rFonts w:ascii="Noto Sans CJK TC" w:hAnsi="Noto Sans CJK TC" w:eastAsia="Noto Sans CJK TC" w:cs="Noto Sans CJK TC"/>
          <w:sz w:val="19"/>
        </w:rPr>
        <w:t xml:space="preserve">繁體中文可讀性優先。建議原生字級12–16像素，重要中文至少16像素起測；字體授權與缺字覆蓋必須確認。像素風不等於文字必須糊。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Noto Sans CJK TC" w:hAnsi="Noto Sans CJK TC" w:eastAsia="Noto Sans CJK TC" w:cs="Noto Sans CJK TC"/>
          <w:b/>
          <w:bCs/>
          <w:sz w:val="19"/>
        </w:rPr>
        <w:t xml:space="preserve">畫面層次：</w:t>
      </w:r>
      <w:r>
        <w:rPr>
          <w:rFonts w:ascii="Noto Sans CJK TC" w:hAnsi="Noto Sans CJK TC" w:eastAsia="Noto Sans CJK TC" w:cs="Noto Sans CJK TC"/>
          <w:sz w:val="19"/>
        </w:rPr>
        <w:t xml:space="preserve"> </w:t>
      </w:r>
      <w:r>
        <w:rPr>
          <w:rFonts w:ascii="Noto Sans CJK TC" w:hAnsi="Noto Sans CJK TC" w:eastAsia="Noto Sans CJK TC" w:cs="Noto Sans CJK TC"/>
          <w:sz w:val="19"/>
        </w:rPr>
        <w:t xml:space="preserve">地板 → 後牆／窗景 → 後排家具 → 人物與中景物件 → 前景遮擋 → 光影 → UI。可互動提示以程式疊加。</w:t>
      </w:r>
    </w:p>
    <w:bookmarkStart w:id="20" w:name="建議核心色票"/>
    <w:p>
      <w:pPr>
        <w:pStyle w:val="Heading3"/>
      </w:pPr>
      <w:r>
        <w:t xml:space="preserve">建議核心色票</w:t>
      </w:r>
    </w:p>
    <w:tbl>
      <w:tblPr>
        <w:tblStyle w:val="TableGrid"/>
        <w:tblW w:type="dxa" w:w="15137"/>
        <w:jc w:val="center"/>
        <w:tblLayout w:type="fixed"/>
        <w:tblLook w:firstRow="1" w:lastRow="0" w:firstColumn="0" w:lastColumn="0" w:noHBand="0" w:noVBand="0" w:val="0020"/>
      </w:tblPr>
      <w:tblGrid>
        <w:gridCol w:w="2381"/>
        <w:gridCol w:w="1928"/>
        <w:gridCol w:w="10828"/>
      </w:tblGrid>
      <w:tr>
        <w:trPr>
          <w:tblHeader w:val="on"/>
          <w:cantSplit/>
          <w:tblHeader w:val="true"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用途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色碼</w:t>
            </w:r>
          </w:p>
        </w:tc>
        <w:tc>
          <w:tcPr>
            <w:tcW w:type="dxa" w:w="108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應用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暖象牙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Style w:val="VerbatimChar"/>
                <w:rFonts w:ascii="Noto Sans CJK TC" w:hAnsi="Noto Sans CJK TC" w:eastAsia="Noto Sans CJK TC" w:cs="Noto Sans CJK TC"/>
                <w:color w:val="17323D"/>
                <w:sz w:val="19"/>
              </w:rPr>
              <w:t xml:space="preserve">#F4EFE4</w:t>
            </w:r>
          </w:p>
        </w:tc>
        <w:tc>
          <w:tcPr>
            <w:tcW w:type="dxa" w:w="108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紙張、簡報與資料面板底色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海軍藍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Style w:val="VerbatimChar"/>
                <w:rFonts w:ascii="Noto Sans CJK TC" w:hAnsi="Noto Sans CJK TC" w:eastAsia="Noto Sans CJK TC" w:cs="Noto Sans CJK TC"/>
                <w:color w:val="17323D"/>
                <w:sz w:val="19"/>
              </w:rPr>
              <w:t xml:space="preserve">#17323D</w:t>
            </w:r>
          </w:p>
        </w:tc>
        <w:tc>
          <w:tcPr>
            <w:tcW w:type="dxa" w:w="108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輪廓、主要文字、夜景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法務藍綠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Style w:val="VerbatimChar"/>
                <w:rFonts w:ascii="Noto Sans CJK TC" w:hAnsi="Noto Sans CJK TC" w:eastAsia="Noto Sans CJK TC" w:cs="Noto Sans CJK TC"/>
                <w:color w:val="17323D"/>
                <w:sz w:val="19"/>
              </w:rPr>
              <w:t xml:space="preserve">#287F7C</w:t>
            </w:r>
          </w:p>
        </w:tc>
        <w:tc>
          <w:tcPr>
            <w:tcW w:type="dxa" w:w="108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西裝、主按鈕、一般強調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琥珀金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Style w:val="VerbatimChar"/>
                <w:rFonts w:ascii="Noto Sans CJK TC" w:hAnsi="Noto Sans CJK TC" w:eastAsia="Noto Sans CJK TC" w:cs="Noto Sans CJK TC"/>
                <w:color w:val="17323D"/>
                <w:sz w:val="19"/>
              </w:rPr>
              <w:t xml:space="preserve">#D9A648</w:t>
            </w:r>
          </w:p>
        </w:tc>
        <w:tc>
          <w:tcPr>
            <w:tcW w:type="dxa" w:w="108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里程碑、金色特性框、財務重點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溫木棕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Style w:val="VerbatimChar"/>
                <w:rFonts w:ascii="Noto Sans CJK TC" w:hAnsi="Noto Sans CJK TC" w:eastAsia="Noto Sans CJK TC" w:cs="Noto Sans CJK TC"/>
                <w:color w:val="17323D"/>
                <w:sz w:val="19"/>
              </w:rPr>
              <w:t xml:space="preserve">#936549</w:t>
            </w:r>
          </w:p>
        </w:tc>
        <w:tc>
          <w:tcPr>
            <w:tcW w:type="dxa" w:w="108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辦公桌、書櫃、溫暖場景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警告紅</w:t>
            </w:r>
          </w:p>
        </w:tc>
        <w:tc>
          <w:tcPr>
            <w:tcW w:type="dxa" w:w="19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Style w:val="VerbatimChar"/>
                <w:rFonts w:ascii="Noto Sans CJK TC" w:hAnsi="Noto Sans CJK TC" w:eastAsia="Noto Sans CJK TC" w:cs="Noto Sans CJK TC"/>
                <w:color w:val="17323D"/>
                <w:sz w:val="19"/>
              </w:rPr>
              <w:t xml:space="preserve">#BF5A50</w:t>
            </w:r>
          </w:p>
        </w:tc>
        <w:tc>
          <w:tcPr>
            <w:tcW w:type="dxa" w:w="108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危險、過勞、資金預警</w:t>
            </w:r>
          </w:p>
        </w:tc>
      </w:tr>
    </w:tbl>
    <w:p>
      <w:pPr>
        <w:pStyle w:val="BodyText"/>
        <w:widowControl/>
      </w:pPr>
      <w:r>
        <w:rPr>
          <w:rFonts w:ascii="Noto Sans CJK TC" w:hAnsi="Noto Sans CJK TC" w:eastAsia="Noto Sans CJK TC" w:cs="Noto Sans CJK TC"/>
          <w:sz w:val="19"/>
        </w:rPr>
        <w:t xml:space="preserve">角色膚色、灰綠牆面與城市窗景可另設受控輔助色，不把六色誤當整款遊戲只能使用六色。以上核心色票與簡報、介面示意統一。</w:t>
      </w:r>
    </w:p>
    <w:bookmarkEnd w:id="20"/>
    <w:bookmarkStart w:id="21" w:name="城市辨識"/>
    <w:p>
      <w:pPr>
        <w:pStyle w:val="Heading3"/>
      </w:pPr>
      <w:r>
        <w:t xml:space="preserve">城市辨識</w:t>
      </w:r>
    </w:p>
    <w:tbl>
      <w:tblPr>
        <w:tblStyle w:val="TableGrid"/>
        <w:tblW w:type="dxa" w:w="15137"/>
        <w:jc w:val="center"/>
        <w:tblLayout w:type="fixed"/>
        <w:tblLook w:firstRow="1" w:lastRow="0" w:firstColumn="0" w:lastColumn="0" w:noHBand="0" w:noVBand="0" w:val="0020"/>
      </w:tblPr>
      <w:tblGrid>
        <w:gridCol w:w="1417"/>
        <w:gridCol w:w="5669"/>
        <w:gridCol w:w="8050"/>
      </w:tblGrid>
      <w:tr>
        <w:trPr>
          <w:tblHeader w:val="on"/>
          <w:cantSplit/>
          <w:tblHeader w:val="true"/>
        </w:trPr>
        <w:tc>
          <w:tcPr>
            <w:tcW w:type="dxa" w:w="141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城市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氣氛與光色</w:t>
            </w:r>
          </w:p>
        </w:tc>
        <w:tc>
          <w:tcPr>
            <w:tcW w:type="dxa" w:w="80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共用資產策略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臺北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雨灰、藍綠、密集商辦窗景</w:t>
            </w:r>
          </w:p>
        </w:tc>
        <w:tc>
          <w:tcPr>
            <w:tcW w:type="dxa" w:w="80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基礎家具＋偏冷牆面＋雨窗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臺中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暖金、米白、較開闊的日照</w:t>
            </w:r>
          </w:p>
        </w:tc>
        <w:tc>
          <w:tcPr>
            <w:tcW w:type="dxa" w:w="80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共用家具＋暖地板＋中部城市窗景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高雄</w:t>
            </w:r>
          </w:p>
        </w:tc>
        <w:tc>
          <w:tcPr>
            <w:tcW w:type="dxa" w:w="5669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港灣青綠、珊瑚點色、強日照</w:t>
            </w:r>
          </w:p>
        </w:tc>
        <w:tc>
          <w:tcPr>
            <w:tcW w:type="dxa" w:w="80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共用家具＋港灣剪影＋明亮窗框</w:t>
            </w:r>
          </w:p>
        </w:tc>
      </w:tr>
    </w:tbl>
    <w:p>
      <w:pPr>
        <w:pStyle w:val="BodyText"/>
        <w:widowControl/>
      </w:pPr>
      <w:r>
        <w:rPr>
          <w:rFonts w:ascii="Noto Sans CJK TC" w:hAnsi="Noto Sans CJK TC" w:eastAsia="Noto Sans CJK TC" w:cs="Noto Sans CJK TC"/>
          <w:sz w:val="19"/>
        </w:rPr>
        <w:t xml:space="preserve">城市以視覺區分，不因美術另加交通或旅遊玩法。每據點最多十五名受僱律師，主角另計；空間須能表現席位數，角色不一定全數同屏。簡報的臺北／臺中／高雄概念構圖目前以6／4／4桌示意氛圍，</w:t>
      </w:r>
      <w:r>
        <w:rPr>
          <w:rFonts w:ascii="Noto Sans CJK TC" w:hAnsi="Noto Sans CJK TC" w:eastAsia="Noto Sans CJK TC" w:cs="Noto Sans CJK TC"/>
          <w:b/>
          <w:bCs/>
          <w:sz w:val="19"/>
        </w:rPr>
        <w:t xml:space="preserve">不是最終十五員工席位的完整平面配置</w:t>
      </w:r>
      <w:r>
        <w:rPr>
          <w:rFonts w:ascii="Noto Sans CJK TC" w:hAnsi="Noto Sans CJK TC" w:eastAsia="Noto Sans CJK TC" w:cs="Noto Sans CJK TC"/>
          <w:sz w:val="19"/>
        </w:rPr>
        <w:t xml:space="preserve">；正式布局需另外驗收席位、動線及主角本所座位。</w:t>
      </w:r>
    </w:p>
    <w:bookmarkEnd w:id="21"/>
    <w:bookmarkEnd w:id="22"/>
    <w:bookmarkStart w:id="24" w:name="數量怎麼計算"/>
    <w:p>
      <w:pPr>
        <w:pStyle w:val="Heading2"/>
      </w:pPr>
      <w:r>
        <w:t xml:space="preserve">2. 數量怎麼計算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Noto Sans CJK TC" w:hAnsi="Noto Sans CJK TC" w:eastAsia="Noto Sans CJK TC" w:cs="Noto Sans CJK TC"/>
          <w:sz w:val="19"/>
        </w:rPr>
        <w:t xml:space="preserve">「工作項目」是CSV的一列；一列可包含一組圖示、模組或肖像，</w:t>
      </w:r>
      <w:r>
        <w:rPr>
          <w:rFonts w:ascii="Noto Sans CJK TC" w:hAnsi="Noto Sans CJK TC" w:eastAsia="Noto Sans CJK TC" w:cs="Noto Sans CJK TC"/>
          <w:b/>
          <w:bCs/>
          <w:sz w:val="19"/>
        </w:rPr>
        <w:t xml:space="preserve">不是一列等於一個PNG檔</w:t>
      </w:r>
      <w:r>
        <w:rPr>
          <w:rFonts w:ascii="Noto Sans CJK TC" w:hAnsi="Noto Sans CJK TC" w:eastAsia="Noto Sans CJK TC" w:cs="Noto Sans CJK TC"/>
          <w:sz w:val="19"/>
        </w:rPr>
        <w:t xml:space="preserve">。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Noto Sans CJK TC" w:hAnsi="Noto Sans CJK TC" w:eastAsia="Noto Sans CJK TC" w:cs="Noto Sans CJK TC"/>
          <w:sz w:val="19"/>
        </w:rPr>
        <w:t xml:space="preserve">「獨立基底」是需設計的不同外觀／構圖。變體、調色、狀態、導出影格另列，不與基底混加。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Noto Sans CJK TC" w:hAnsi="Noto Sans CJK TC" w:eastAsia="Noto Sans CJK TC" w:cs="Noto Sans CJK TC"/>
          <w:sz w:val="19"/>
        </w:rPr>
        <w:t xml:space="preserve">場景有15個獨立版型／構圖；可重用地板、家具、人物。四時段調色層不算四張新場景。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Noto Sans CJK TC" w:hAnsi="Noto Sans CJK TC" w:eastAsia="Noto Sans CJK TC" w:cs="Noto Sans CJK TC"/>
          <w:sz w:val="19"/>
        </w:rPr>
        <w:t xml:space="preserve">人物有18個身分基底：8個A類工作角色、10個B類事件／客戶角色。A類每基底48格、B類32格，共704個</w:t>
      </w:r>
      <w:r>
        <w:rPr>
          <w:rFonts w:ascii="Noto Sans CJK TC" w:hAnsi="Noto Sans CJK TC" w:eastAsia="Noto Sans CJK TC" w:cs="Noto Sans CJK TC"/>
          <w:b/>
          <w:bCs/>
          <w:sz w:val="19"/>
        </w:rPr>
        <w:t xml:space="preserve">動畫輸出影格槽位</w:t>
      </w:r>
      <w:r>
        <w:rPr>
          <w:rFonts w:ascii="Noto Sans CJK TC" w:hAnsi="Noto Sans CJK TC" w:eastAsia="Noto Sans CJK TC" w:cs="Noto Sans CJK TC"/>
          <w:sz w:val="19"/>
        </w:rPr>
        <w:t xml:space="preserve">；鏡像與重用可減少實際手繪量，但需逐方向驗收。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Noto Sans CJK TC" w:hAnsi="Noto Sans CJK TC" w:eastAsia="Noto Sans CJK TC" w:cs="Noto Sans CJK TC"/>
          <w:sz w:val="19"/>
        </w:rPr>
        <w:t xml:space="preserve">肖像18基底×6表情=108個表情輸出，不代表108個新角色。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Noto Sans CJK TC" w:hAnsi="Noto Sans CJK TC" w:eastAsia="Noto Sans CJK TC" w:cs="Noto Sans CJK TC"/>
          <w:sz w:val="19"/>
        </w:rPr>
        <w:t xml:space="preserve">十三特性各一個圖示基底；選取／禁用等狀態由UI疊加。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Noto Sans CJK TC" w:hAnsi="Noto Sans CJK TC" w:eastAsia="Noto Sans CJK TC" w:cs="Noto Sans CJK TC"/>
          <w:sz w:val="19"/>
        </w:rPr>
        <w:t xml:space="preserve">二十個存檔位只需一套可重用卡片模板；七日×四時段也只需一套格子模板。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Noto Sans CJK TC" w:hAnsi="Noto Sans CJK TC" w:eastAsia="Noto Sans CJK TC" w:cs="Noto Sans CJK TC"/>
          <w:sz w:val="19"/>
        </w:rPr>
        <w:t xml:space="preserve">概念圖、可編輯源檔、匯出PNG、合圖atlas與metadata是同一資產的不同交付物，不重複算作不同美術設計。</w:t>
      </w:r>
    </w:p>
    <w:bookmarkStart w:id="23" w:name="工作項目與基底統計"/>
    <w:p>
      <w:pPr>
        <w:pStyle w:val="Heading3"/>
      </w:pPr>
      <w:r>
        <w:t xml:space="preserve">工作項目與基底統計</w:t>
      </w:r>
    </w:p>
    <w:tbl>
      <w:tblPr>
        <w:tblStyle w:val="TableGrid"/>
        <w:tblW w:type="dxa" w:w="15137"/>
        <w:jc w:val="center"/>
        <w:tblLayout w:type="fixed"/>
        <w:tblLook w:firstRow="1" w:lastRow="0" w:firstColumn="0" w:lastColumn="0" w:noHBand="0" w:noVBand="0" w:val="0020"/>
      </w:tblPr>
      <w:tblGrid>
        <w:gridCol w:w="2381"/>
        <w:gridCol w:w="1814"/>
        <w:gridCol w:w="1814"/>
        <w:gridCol w:w="9128"/>
      </w:tblGrid>
      <w:tr>
        <w:trPr>
          <w:tblHeader w:val="on"/>
          <w:cantSplit/>
          <w:tblHeader w:val="true"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類別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righ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工作項目列數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righ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獨立基底數</w:t>
            </w:r>
          </w:p>
        </w:tc>
        <w:tc>
          <w:tcPr>
            <w:tcW w:type="dxa" w:w="91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計數說明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場景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righ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15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righ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15</w:t>
            </w:r>
          </w:p>
        </w:tc>
        <w:tc>
          <w:tcPr>
            <w:tcW w:type="dxa" w:w="91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不同構圖；燈色與家具可共用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人物精靈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righ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18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righ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18</w:t>
            </w:r>
          </w:p>
        </w:tc>
        <w:tc>
          <w:tcPr>
            <w:tcW w:type="dxa" w:w="91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18個身分；動畫影格另計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人物模組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righ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3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righ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9</w:t>
            </w:r>
          </w:p>
        </w:tc>
        <w:tc>
          <w:tcPr>
            <w:tcW w:type="dxa" w:w="91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髮型／眼鏡／調色規範；不算新人物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人物肖像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righ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righ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18</w:t>
            </w:r>
          </w:p>
        </w:tc>
        <w:tc>
          <w:tcPr>
            <w:tcW w:type="dxa" w:w="91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18個胸像基底；108表情輸出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地圖模組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righ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3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righ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5</w:t>
            </w:r>
          </w:p>
        </w:tc>
        <w:tc>
          <w:tcPr>
            <w:tcW w:type="dxa" w:w="91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2個atlas＋3個城市遠景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場景物件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righ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23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righ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23</w:t>
            </w:r>
          </w:p>
        </w:tc>
        <w:tc>
          <w:tcPr>
            <w:tcW w:type="dxa" w:w="91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跨場景共用家具與物件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UI元件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righ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14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righ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14</w:t>
            </w:r>
          </w:p>
        </w:tc>
        <w:tc>
          <w:tcPr>
            <w:tcW w:type="dxa" w:w="91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模板重用；動態文字與資料不烘焙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一般圖示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righ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9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righ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48</w:t>
            </w:r>
          </w:p>
        </w:tc>
        <w:tc>
          <w:tcPr>
            <w:tcW w:type="dxa" w:w="91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每圖示一基底；選取狀態不重算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特性圖示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righ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13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righ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13</w:t>
            </w:r>
          </w:p>
        </w:tc>
        <w:tc>
          <w:tcPr>
            <w:tcW w:type="dxa" w:w="91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十三特性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事件插圖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righ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10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righ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10</w:t>
            </w:r>
          </w:p>
        </w:tc>
        <w:tc>
          <w:tcPr>
            <w:tcW w:type="dxa" w:w="91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10個構圖；重用已有場景人物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視覺特效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righ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righ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3</w:t>
            </w:r>
          </w:p>
        </w:tc>
        <w:tc>
          <w:tcPr>
            <w:tcW w:type="dxa" w:w="91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三種4格效果，共12影格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版面規範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righ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3</w:t>
            </w:r>
          </w:p>
        </w:tc>
        <w:tc>
          <w:tcPr>
            <w:tcW w:type="dxa" w:w="181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righ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3</w:t>
            </w:r>
          </w:p>
        </w:tc>
        <w:tc>
          <w:tcPr>
            <w:tcW w:type="dxa" w:w="91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樣張與規範，不是可玩場景</w:t>
            </w:r>
          </w:p>
        </w:tc>
      </w:tr>
    </w:tbl>
    <w:p>
      <w:pPr>
        <w:pStyle w:val="BodyText"/>
        <w:widowControl/>
      </w:pPr>
      <w:r>
        <w:rPr>
          <w:rFonts w:ascii="Noto Sans CJK TC" w:hAnsi="Noto Sans CJK TC" w:eastAsia="Noto Sans CJK TC" w:cs="Noto Sans CJK TC"/>
          <w:sz w:val="19"/>
        </w:rPr>
        <w:t xml:space="preserve">合計</w:t>
      </w:r>
      <w:r>
        <w:rPr>
          <w:rFonts w:ascii="Noto Sans CJK TC" w:hAnsi="Noto Sans CJK TC" w:eastAsia="Noto Sans CJK TC" w:cs="Noto Sans CJK TC"/>
          <w:sz w:val="19"/>
        </w:rPr>
        <w:t xml:space="preserve"> </w:t>
      </w:r>
      <w:r>
        <w:rPr>
          <w:rFonts w:ascii="Noto Sans CJK TC" w:hAnsi="Noto Sans CJK TC" w:eastAsia="Noto Sans CJK TC" w:cs="Noto Sans CJK TC"/>
          <w:b/>
          <w:bCs/>
          <w:sz w:val="19"/>
        </w:rPr>
        <w:t xml:space="preserve">113 個工作項目</w:t>
      </w:r>
      <w:r>
        <w:rPr>
          <w:rFonts w:ascii="Noto Sans CJK TC" w:hAnsi="Noto Sans CJK TC" w:eastAsia="Noto Sans CJK TC" w:cs="Noto Sans CJK TC"/>
          <w:sz w:val="19"/>
        </w:rPr>
        <w:t xml:space="preserve">、</w:t>
      </w:r>
      <w:r>
        <w:rPr>
          <w:rFonts w:ascii="Noto Sans CJK TC" w:hAnsi="Noto Sans CJK TC" w:eastAsia="Noto Sans CJK TC" w:cs="Noto Sans CJK TC"/>
          <w:b/>
          <w:bCs/>
          <w:sz w:val="19"/>
        </w:rPr>
        <w:t xml:space="preserve">179 個分類基底</w:t>
      </w:r>
      <w:r>
        <w:rPr>
          <w:rFonts w:ascii="Noto Sans CJK TC" w:hAnsi="Noto Sans CJK TC" w:eastAsia="Noto Sans CJK TC" w:cs="Noto Sans CJK TC"/>
          <w:sz w:val="19"/>
        </w:rPr>
        <w:t xml:space="preserve">。此合計混合場景、人物、模板、圖示及樣張，只供追蹤，不作為一張圖的平均工時估價。詳細狀態／變體請看逐列清單。</w:t>
      </w:r>
    </w:p>
    <w:bookmarkEnd w:id="23"/>
    <w:bookmarkEnd w:id="24"/>
    <w:bookmarkStart w:id="25" w:name="人物動畫共用規格"/>
    <w:p>
      <w:pPr>
        <w:pStyle w:val="Heading2"/>
      </w:pPr>
      <w:r>
        <w:t xml:space="preserve">3. 人物動畫共用規格</w:t>
      </w:r>
    </w:p>
    <w:p>
      <w:pPr>
        <w:pStyle w:val="FirstParagraph"/>
        <w:widowControl/>
      </w:pPr>
      <w:r>
        <w:rPr>
          <w:rFonts w:ascii="Noto Sans CJK TC" w:hAnsi="Noto Sans CJK TC" w:eastAsia="Noto Sans CJK TC" w:cs="Noto Sans CJK TC"/>
          <w:sz w:val="19"/>
        </w:rPr>
        <w:t xml:space="preserve">簡報中的高細節時裝比例人物用來確認西裝、髮型、配件與性格；小型chibi研究才接近遊戲比例。正式遊戲人物需重新製作32×48、約三頭身精靈，不能把大人物圖直接縮小就視為完成稿。腳點仍固定(16,44)。</w:t>
      </w:r>
    </w:p>
    <w:tbl>
      <w:tblPr>
        <w:tblStyle w:val="TableGrid"/>
        <w:tblW w:type="dxa" w:w="15137"/>
        <w:jc w:val="center"/>
        <w:tblLayout w:type="fixed"/>
        <w:tblLook w:firstRow="1" w:lastRow="0" w:firstColumn="0" w:lastColumn="0" w:noHBand="0" w:noVBand="0" w:val="0020"/>
      </w:tblPr>
      <w:tblGrid>
        <w:gridCol w:w="2268"/>
        <w:gridCol w:w="2494"/>
        <w:gridCol w:w="5953"/>
        <w:gridCol w:w="4422"/>
      </w:tblGrid>
      <w:tr>
        <w:trPr>
          <w:tblHeader w:val="on"/>
          <w:cantSplit/>
          <w:tblHeader w:val="true"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Profile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必要狀態</w:t>
            </w:r>
          </w:p>
        </w:tc>
        <w:tc>
          <w:tcPr>
            <w:tcW w:type="dxa" w:w="5953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影格與方向</w:t>
            </w:r>
          </w:p>
        </w:tc>
        <w:tc>
          <w:tcPr>
            <w:tcW w:type="dxa" w:w="442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循環／時間建議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A：主角／律師／老闆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待機、走路、寫狀、交談、疲倦</w:t>
            </w:r>
          </w:p>
        </w:tc>
        <w:tc>
          <w:tcPr>
            <w:tcW w:type="dxa" w:w="5953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待機四向×2=8；走路四向×4=16；寫狀正／側兩向×4=8；交談四向×2=8；疲倦四向×2=8；總48格</w:t>
            </w:r>
          </w:p>
        </w:tc>
        <w:tc>
          <w:tcPr>
            <w:tcW w:type="dxa" w:w="442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待機約2fps、走路約6–8fps、寫狀約4fps、交談約3fps、疲倦約2fps；均可循環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B：客戶／記者／醫師</w:t>
            </w:r>
          </w:p>
        </w:tc>
        <w:tc>
          <w:tcPr>
            <w:tcW w:type="dxa" w:w="249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待機、走路、交談</w:t>
            </w:r>
          </w:p>
        </w:tc>
        <w:tc>
          <w:tcPr>
            <w:tcW w:type="dxa" w:w="5953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待機四向×2=8；走路四向×4=16；交談四向×2=8；總32格</w:t>
            </w:r>
          </w:p>
        </w:tc>
        <w:tc>
          <w:tcPr>
            <w:tcW w:type="dxa" w:w="442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同A相應狀態</w:t>
            </w:r>
          </w:p>
        </w:tc>
      </w:tr>
    </w:tbl>
    <w:p>
      <w:pPr>
        <w:pStyle w:val="BodyText"/>
        <w:widowControl/>
      </w:pPr>
      <w:r>
        <w:rPr>
          <w:rFonts w:ascii="Noto Sans CJK TC" w:hAnsi="Noto Sans CJK TC" w:eastAsia="Noto Sans CJK TC" w:cs="Noto Sans CJK TC"/>
          <w:sz w:val="19"/>
        </w:rPr>
        <w:t xml:space="preserve">四向定義為前、後、左、右；左右可由鏡像產生，但領帶、胸針、持物的方向要人工確認。每張單格32×48，角色腳點固定(16,44)，不隨動作上下飄移。A邏輯表8欄×6列=256×288，B邏輯表8欄×4列=256×192，以上是</w:t>
      </w:r>
      <w:r>
        <w:rPr>
          <w:rFonts w:ascii="Noto Sans CJK TC" w:hAnsi="Noto Sans CJK TC" w:eastAsia="Noto Sans CJK TC" w:cs="Noto Sans CJK TC"/>
          <w:b/>
          <w:bCs/>
          <w:sz w:val="19"/>
        </w:rPr>
        <w:t xml:space="preserve">不含padding的邏輯影格格網</w:t>
      </w:r>
      <w:r>
        <w:rPr>
          <w:rFonts w:ascii="Noto Sans CJK TC" w:hAnsi="Noto Sans CJK TC" w:eastAsia="Noto Sans CJK TC" w:cs="Noto Sans CJK TC"/>
          <w:sz w:val="19"/>
        </w:rPr>
        <w:t xml:space="preserve">。若另行打包為加padding的atlas，實際尺寸可不同，必須由metadata標示每格矩形與腳點；不可要求在上述精確邏輯尺寸內再硬塞padding。另外交付JSON映射，不能只靠檔名猜影格順序。</w:t>
      </w:r>
    </w:p>
    <w:bookmarkEnd w:id="25"/>
    <w:bookmarkStart w:id="38" w:name="全資源清單"/>
    <w:p>
      <w:pPr>
        <w:pStyle w:val="Heading2"/>
      </w:pPr>
      <w:r>
        <w:t xml:space="preserve">4. 全資源清單</w:t>
      </w:r>
    </w:p>
    <w:p>
      <w:pPr>
        <w:pStyle w:val="FirstParagraph"/>
        <w:widowControl/>
      </w:pPr>
      <w:r>
        <w:rPr>
          <w:rFonts w:ascii="Noto Sans CJK TC" w:hAnsi="Noto Sans CJK TC" w:eastAsia="Noto Sans CJK TC" w:cs="Noto Sans CJK TC"/>
          <w:sz w:val="19"/>
        </w:rPr>
        <w:t xml:space="preserve">優先級：</w:t>
      </w:r>
      <w:r>
        <w:rPr>
          <w:rFonts w:ascii="Noto Sans CJK TC" w:hAnsi="Noto Sans CJK TC" w:eastAsia="Noto Sans CJK TC" w:cs="Noto Sans CJK TC"/>
          <w:b/>
          <w:bCs/>
          <w:sz w:val="19"/>
        </w:rPr>
        <w:t xml:space="preserve">P0＝垂直切片先做；P1＝完整第一版補齊</w:t>
      </w:r>
      <w:r>
        <w:rPr>
          <w:rFonts w:ascii="Noto Sans CJK TC" w:hAnsi="Noto Sans CJK TC" w:eastAsia="Noto Sans CJK TC" w:cs="Noto Sans CJK TC"/>
          <w:sz w:val="19"/>
        </w:rPr>
        <w:t xml:space="preserve">。本文未列P2裝飾性擴充，避免把可延後外觀混進必要數量。P0／P1表示製作順序，不代表P1可以在完整第一版刪除。</w:t>
      </w:r>
    </w:p>
    <w:bookmarkStart w:id="26" w:name="場景"/>
    <w:p>
      <w:pPr>
        <w:pStyle w:val="Heading3"/>
      </w:pPr>
      <w:r>
        <w:t xml:space="preserve">場景</w:t>
      </w:r>
    </w:p>
    <w:tbl>
      <w:tblPr>
        <w:tblStyle w:val="TableGrid"/>
        <w:tblW w:type="dxa" w:w="15137"/>
        <w:jc w:val="center"/>
        <w:tblLayout w:type="fixed"/>
        <w:tblLook w:firstRow="1" w:lastRow="0" w:firstColumn="0" w:lastColumn="0" w:noHBand="0" w:noVBand="0" w:val="0020"/>
      </w:tblPr>
      <w:tblGrid>
        <w:gridCol w:w="1134"/>
        <w:gridCol w:w="3231"/>
        <w:gridCol w:w="2381"/>
        <w:gridCol w:w="3912"/>
        <w:gridCol w:w="3628"/>
        <w:gridCol w:w="850"/>
      </w:tblGrid>
      <w:tr>
        <w:trPr>
          <w:tblHeader w:val="on"/>
          <w:cantSplit/>
          <w:tblHeader w:val="true"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名稱／用途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尺寸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基底／變體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動畫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優先級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SCN-01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標題主視覺；標題／封面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640×360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1；1；文字另由UI疊加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SCN-02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考上律師與律訓開場；開場短篇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640×360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1；1；文字另由UI疊加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SCN-03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街坊小所；受僱規模1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640×360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1；辦公場景共用日／午後／傍晚／夜間4組調色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SCN-04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在地事務所；受僱規模2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640×360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1；辦公場景共用日／午後／傍晚／夜間4組調色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SCN-05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區域型事務所；受僱規模3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640×360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1；辦公場景共用日／午後／傍晚／夜間4組調色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SCN-06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大型事務所；受僱規模4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640×360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1；辦公場景共用日／午後／傍晚／夜間4組調色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SCN-07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指標事務所；受僱規模5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640×360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1；辦公場景共用日／午後／傍晚／夜間4組調色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SCN-08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合署工作區；合署階段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640×360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1；辦公場景共用日／午後／傍晚／夜間4組調色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SCN-09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臺北自有本所；開業與15名受僱律師管理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640×360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1；辦公場景共用日／午後／傍晚／夜間4組調色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SCN-10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臺中分所；分所經營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640×360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1；辦公場景共用日／午後／傍晚／夜間4組調色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SCN-11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高雄分所；分所經營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640×360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1；辦公場景共用日／午後／傍晚／夜間4組調色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SCN-12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夜間住處；19:00行動選單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640×360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1；1；文字另由UI疊加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SCN-13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電視／新聞訪問現場；媒體事件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640×360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1；1；文字另由UI疊加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SCN-14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健康亮起紅燈結局；健康結局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640×360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1；1；文字另由UI疊加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SCN-15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破產回家結局；破產結局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640×360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1；1；文字另由UI疊加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</w:tbl>
    <w:bookmarkEnd w:id="26"/>
    <w:bookmarkStart w:id="27" w:name="人物精靈"/>
    <w:p>
      <w:pPr>
        <w:pStyle w:val="Heading3"/>
      </w:pPr>
      <w:r>
        <w:t xml:space="preserve">人物精靈</w:t>
      </w:r>
    </w:p>
    <w:tbl>
      <w:tblPr>
        <w:tblStyle w:val="TableGrid"/>
        <w:tblW w:type="dxa" w:w="15137"/>
        <w:jc w:val="center"/>
        <w:tblLayout w:type="fixed"/>
        <w:tblLook w:firstRow="1" w:lastRow="0" w:firstColumn="0" w:lastColumn="0" w:noHBand="0" w:noVBand="0" w:val="0020"/>
      </w:tblPr>
      <w:tblGrid>
        <w:gridCol w:w="1134"/>
        <w:gridCol w:w="3231"/>
        <w:gridCol w:w="2381"/>
        <w:gridCol w:w="3912"/>
        <w:gridCol w:w="3628"/>
        <w:gridCol w:w="850"/>
      </w:tblGrid>
      <w:tr>
        <w:trPr>
          <w:tblHeader w:val="on"/>
          <w:cantSplit/>
          <w:tblHeader w:val="true"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名稱／用途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尺寸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基底／變體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動畫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優先級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CHR-01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主角男性外觀；玩家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單格32×48；A邏輯表256×288／B邏輯表256×192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1；1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A：待機8＋走路16＋寫狀8＋交談8＋疲倦8＝48格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CHR-02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主角女性外觀；玩家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單格32×48；A邏輯表256×288／B邏輯表256×192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1；1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A：待機8＋走路16＋寫狀8＋交談8＋疲倦8＝48格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CHR-03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老闆男性外觀；原所雇主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單格32×48；A邏輯表256×288／B邏輯表256×192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1；1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A：待機8＋走路16＋寫狀8＋交談8＋疲倦8＝48格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CHR-04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老闆女性外觀；原所雇主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單格32×48；A邏輯表256×288／B邏輯表256×192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1；1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A：待機8＋走路16＋寫狀8＋交談8＋疲倦8＝48格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CHR-05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初階律師男性；候選／員工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單格32×48；A邏輯表256×288／B邏輯表256×192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1；1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A：待機8＋走路16＋寫狀8＋交談8＋疲倦8＝48格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CHR-06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初階律師女性；候選／員工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單格32×48；A邏輯表256×288／B邏輯表256×192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1；1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A：待機8＋走路16＋寫狀8＋交談8＋疲倦8＝48格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CHR-07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資深律師男性；候選／員工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單格32×48；A邏輯表256×288／B邏輯表256×192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1；1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A：待機8＋走路16＋寫狀8＋交談8＋疲倦8＝48格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CHR-08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資深律師女性；候選／員工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單格32×48；A邏輯表256×288／B邏輯表256×192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1；1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A：待機8＋走路16＋寫狀8＋交談8＋疲倦8＝48格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CHR-09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年輕客戶男性；客戶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單格32×48；A邏輯表256×288／B邏輯表256×192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1；1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B：待機8＋走路16＋交談8＝32格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CHR-10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年輕客戶女性；客戶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單格32×48；A邏輯表256×288／B邏輯表256×192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1；1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B：待機8＋走路16＋交談8＝32格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CHR-11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中年客戶男性；客戶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單格32×48；A邏輯表256×288／B邏輯表256×192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1；1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B：待機8＋走路16＋交談8＝32格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CHR-12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中年客戶女性；客戶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單格32×48；A邏輯表256×288／B邏輯表256×192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1；1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B：待機8＋走路16＋交談8＝32格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CHR-13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熟齡客戶男性；客戶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單格32×48；A邏輯表256×288／B邏輯表256×192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1；1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B：待機8＋走路16＋交談8＝32格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CHR-14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熟齡客戶女性；客戶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單格32×48；A邏輯表256×288／B邏輯表256×192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1；1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B：待機8＋走路16＋交談8＝32格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CHR-15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記者男性；媒體事件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單格32×48；A邏輯表256×288／B邏輯表256×192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1；1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B：待機8＋走路16＋交談8＝32格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CHR-16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記者女性；媒體事件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單格32×48；A邏輯表256×288／B邏輯表256×192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1；1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B：待機8＋走路16＋交談8＝32格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CHR-17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醫師男性；健康結局／事件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單格32×48；A邏輯表256×288／B邏輯表256×192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1；1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B：待機8＋走路16＋交談8＝32格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CHR-18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醫師女性；健康結局／事件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單格32×48；A邏輯表256×288／B邏輯表256×192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1；1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B：待機8＋走路16＋交談8＝32格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P1</w:t>
            </w:r>
          </w:p>
        </w:tc>
      </w:tr>
    </w:tbl>
    <w:bookmarkEnd w:id="27"/>
    <w:bookmarkStart w:id="28" w:name="人物模組"/>
    <w:p>
      <w:pPr>
        <w:pStyle w:val="Heading3"/>
      </w:pPr>
      <w:r>
        <w:t xml:space="preserve">人物模組</w:t>
      </w:r>
    </w:p>
    <w:tbl>
      <w:tblPr>
        <w:tblStyle w:val="TableGrid"/>
        <w:tblW w:type="dxa" w:w="15137"/>
        <w:jc w:val="center"/>
        <w:tblLayout w:type="fixed"/>
        <w:tblLook w:firstRow="1" w:lastRow="0" w:firstColumn="0" w:lastColumn="0" w:noHBand="0" w:noVBand="0" w:val="0020"/>
      </w:tblPr>
      <w:tblGrid>
        <w:gridCol w:w="1134"/>
        <w:gridCol w:w="3231"/>
        <w:gridCol w:w="2381"/>
        <w:gridCol w:w="3912"/>
        <w:gridCol w:w="3628"/>
        <w:gridCol w:w="850"/>
      </w:tblGrid>
      <w:tr>
        <w:trPr>
          <w:tblHeader w:val="on"/>
          <w:cantSplit/>
          <w:tblHeader w:val="true"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名稱／用途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尺寸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基底／變體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動畫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優先級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CHR-M01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髮型覆蓋件；隨機角色及光頭外觀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對齊32×48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6；深棕／黑／灰3色由調色處理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與人物48／32格對齊，需逐姿勢校正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CHR-M02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眼鏡覆蓋件；學霸等外觀選擇，不強制綁特性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對齊32×48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2；1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逐姿勢對齊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CHR-M03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服裝調色表；職涯辨識與NPC差異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16×16色表／人物對照板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1；受僱海軍藍／合署灰綠／開業炭黑3組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</w:tbl>
    <w:bookmarkEnd w:id="28"/>
    <w:bookmarkStart w:id="29" w:name="人物肖像"/>
    <w:p>
      <w:pPr>
        <w:pStyle w:val="Heading3"/>
      </w:pPr>
      <w:r>
        <w:t xml:space="preserve">人物肖像</w:t>
      </w:r>
    </w:p>
    <w:tbl>
      <w:tblPr>
        <w:tblStyle w:val="TableGrid"/>
        <w:tblW w:type="dxa" w:w="15137"/>
        <w:jc w:val="center"/>
        <w:tblLayout w:type="fixed"/>
        <w:tblLook w:firstRow="1" w:lastRow="0" w:firstColumn="0" w:lastColumn="0" w:noHBand="0" w:noVBand="0" w:val="0020"/>
      </w:tblPr>
      <w:tblGrid>
        <w:gridCol w:w="1134"/>
        <w:gridCol w:w="3231"/>
        <w:gridCol w:w="2381"/>
        <w:gridCol w:w="3912"/>
        <w:gridCol w:w="3628"/>
        <w:gridCol w:w="850"/>
      </w:tblGrid>
      <w:tr>
        <w:trPr>
          <w:tblHeader w:val="on"/>
          <w:cantSplit/>
          <w:tblHeader w:val="true"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名稱／用途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尺寸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基底／變體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動畫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優先級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POR-01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全角色事件肖像；事件／招募／角色頁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96×96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18；平靜／高興／思考／擔憂／疲憊／驚訝6表情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靜態；18基底×6＝108表情輸出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P1</w:t>
            </w:r>
          </w:p>
        </w:tc>
      </w:tr>
    </w:tbl>
    <w:bookmarkEnd w:id="29"/>
    <w:bookmarkStart w:id="30" w:name="地圖模組"/>
    <w:p>
      <w:pPr>
        <w:pStyle w:val="Heading3"/>
      </w:pPr>
      <w:r>
        <w:t xml:space="preserve">地圖模組</w:t>
      </w:r>
    </w:p>
    <w:tbl>
      <w:tblPr>
        <w:tblStyle w:val="TableGrid"/>
        <w:tblW w:type="dxa" w:w="15137"/>
        <w:jc w:val="center"/>
        <w:tblLayout w:type="fixed"/>
        <w:tblLook w:firstRow="1" w:lastRow="0" w:firstColumn="0" w:lastColumn="0" w:noHBand="0" w:noVBand="0" w:val="0020"/>
      </w:tblPr>
      <w:tblGrid>
        <w:gridCol w:w="1134"/>
        <w:gridCol w:w="3231"/>
        <w:gridCol w:w="2381"/>
        <w:gridCol w:w="3912"/>
        <w:gridCol w:w="3628"/>
        <w:gridCol w:w="850"/>
      </w:tblGrid>
      <w:tr>
        <w:trPr>
          <w:tblHeader w:val="on"/>
          <w:cantSplit/>
          <w:tblHeader w:val="true"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名稱／用途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尺寸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基底／變體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動畫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優先級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TIL-01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地板磚組；全部事務所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單格32×32；表128×128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1；16格；木／磁磚／地毯及接邊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TIL-02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牆面與隔間組；全部事務所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單格32×32；表128×128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1；16格；牆角／玻璃／踢腳線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TIL-03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城市窗外遠景；臺北／臺中／高雄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128×64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3；四時段調色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P1</w:t>
            </w:r>
          </w:p>
        </w:tc>
      </w:tr>
    </w:tbl>
    <w:bookmarkEnd w:id="30"/>
    <w:bookmarkStart w:id="31" w:name="場景物件"/>
    <w:p>
      <w:pPr>
        <w:pStyle w:val="Heading3"/>
      </w:pPr>
      <w:r>
        <w:t xml:space="preserve">場景物件</w:t>
      </w:r>
    </w:p>
    <w:tbl>
      <w:tblPr>
        <w:tblStyle w:val="TableGrid"/>
        <w:tblW w:type="dxa" w:w="15137"/>
        <w:jc w:val="center"/>
        <w:tblLayout w:type="fixed"/>
        <w:tblLook w:firstRow="1" w:lastRow="0" w:firstColumn="0" w:lastColumn="0" w:noHBand="0" w:noVBand="0" w:val="0020"/>
      </w:tblPr>
      <w:tblGrid>
        <w:gridCol w:w="1134"/>
        <w:gridCol w:w="3231"/>
        <w:gridCol w:w="2381"/>
        <w:gridCol w:w="3912"/>
        <w:gridCol w:w="3628"/>
        <w:gridCol w:w="850"/>
      </w:tblGrid>
      <w:tr>
        <w:trPr>
          <w:tblHeader w:val="on"/>
          <w:cantSplit/>
          <w:tblHeader w:val="true"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名稱／用途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尺寸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基底／變體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動畫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優先級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PRP-01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辦公桌；辦公室／相關事件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64×32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1；空桌／文件多2狀態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PRP-02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辦公椅；辦公室／相關事件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32×32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1；正／背／左／右4朝向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PRP-03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法律書櫃；辦公室／相關事件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32×64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1；2種書籍色塊排列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PRP-04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檔案櫃；辦公室／相關事件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32×48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1；關閉／抽屜開2狀態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PRP-05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電腦與螢幕；辦公室／相關事件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32×32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1；亮／暗／低能量警示3狀態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PRP-06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桌上電話；辦公室／相關事件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16×16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1；待機／來電2狀態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PRP-07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案件卷宗堆；辦公室／相關事件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32×32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1；低／中／高3高度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PRP-08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案件資料夾；辦公室／相關事件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16×16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1；普通／特殊2外觀，顏色不代表唯一案型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PRP-09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桌上法書；辦公室／相關事件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16×16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1；合／開2狀態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PRP-10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時鐘；辦公室／相關事件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16×16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1；四時段指針由UI／獨立層處理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PRP-11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影印機；辦公室／相關事件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32×32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1；待機／工作2狀態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PRP-12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飲水機；辦公室／相關事件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32×48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1；1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PRP-13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等候沙發；辦公室／相關事件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64×32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1；1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PRP-14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接待茶几；辦公室／相關事件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32×32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1；1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PRP-15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盆栽；辦公室／相關事件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32×48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1；1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PRP-16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壁掛冷氣；辦公室／相關事件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64×32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1；1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PRP-17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門；辦公室／相關事件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32×64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1；關／開2狀態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PRP-18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窗框；辦公室／相關事件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64×64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1；雨／晴外景另層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PRP-19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早餐袋與飲料；辦公室／相關事件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16×16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1；未吃／已吃2狀態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PRP-20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印章與印台；辦公室／相關事件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16×16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1；1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PRP-21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水杯；辦公室／相關事件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16×16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1；1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PRP-22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帳單與繳費通知；辦公室／相關事件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16×16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1；一般／逾危警示2狀態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PRP-23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事務所門牌；辦公室／相關事件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64×32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1；三城市名稱由字型層呈現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P1</w:t>
            </w:r>
          </w:p>
        </w:tc>
      </w:tr>
    </w:tbl>
    <w:bookmarkEnd w:id="31"/>
    <w:bookmarkStart w:id="32" w:name="ui元件"/>
    <w:p>
      <w:pPr>
        <w:pStyle w:val="Heading3"/>
      </w:pPr>
      <w:r>
        <w:t xml:space="preserve">UI元件</w:t>
      </w:r>
    </w:p>
    <w:tbl>
      <w:tblPr>
        <w:tblStyle w:val="TableGrid"/>
        <w:tblW w:type="dxa" w:w="15137"/>
        <w:jc w:val="center"/>
        <w:tblLayout w:type="fixed"/>
        <w:tblLook w:firstRow="1" w:lastRow="0" w:firstColumn="0" w:lastColumn="0" w:noHBand="0" w:noVBand="0" w:val="0020"/>
      </w:tblPr>
      <w:tblGrid>
        <w:gridCol w:w="1134"/>
        <w:gridCol w:w="3231"/>
        <w:gridCol w:w="2381"/>
        <w:gridCol w:w="3912"/>
        <w:gridCol w:w="3628"/>
        <w:gridCol w:w="850"/>
      </w:tblGrid>
      <w:tr>
        <w:trPr>
          <w:tblHeader w:val="on"/>
          <w:cantSplit/>
          <w:tblHeader w:val="true"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名稱／用途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尺寸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基底／變體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動畫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優先級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UI-01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通用視窗框；全部管理頁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48×48九宮格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1；一般／警告2色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UI-02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通用按鈕；行動／確認／拒絕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64×24九宮格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1；一般／hover／按下／禁用4狀態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UI-03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頁籤與導覽；案件／角色／職涯／員工／據點／財務／排程／存檔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48×24九宮格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1；未選／選取／禁用3狀態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UI-04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HUD資訊卡；日期／時段／資金／疲勞／持案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64×24九宮格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1；5種用途共用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UI-05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疲勞條；常駐HUD／角色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96×12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1；背景／填充／警告疊層3層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UI-06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資料列模板；案件／職員／帳本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320×32九宮格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1；一般／選取／警告3狀態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UI-07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人物卡模板；角色建立／招募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128×160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1；一般／選取／滿員3狀態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UI-08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事件對話模板；媒體／諮詢／職涯事件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576×120九宮格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1；一般／重大風險2色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UI-09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據點卡模板；三城市據點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160×192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1；未成立／營運／滿員3狀態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UI-10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存檔卡模板；二十存檔位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256×64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1；空／有資料／選取／損毀4狀態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UI-11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七日排程格；排程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64×48九宮格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1；空／已排／風險／暫停4狀態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UI-12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財務圖表樣式；現金流與30／90日預測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320×160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1；折線／收入支出條／預警3樣式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UI-13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分頁與捲動元件；長列表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16×16／16×64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1；箭頭與滑軌／滑塊組件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UI-14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結局操作面板；兩個結局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320×96九宮格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1；健康／破產2調色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</w:tbl>
    <w:bookmarkEnd w:id="32"/>
    <w:bookmarkStart w:id="33" w:name="一般圖示"/>
    <w:p>
      <w:pPr>
        <w:pStyle w:val="Heading3"/>
      </w:pPr>
      <w:r>
        <w:t xml:space="preserve">一般圖示</w:t>
      </w:r>
    </w:p>
    <w:tbl>
      <w:tblPr>
        <w:tblStyle w:val="TableGrid"/>
        <w:tblW w:type="dxa" w:w="15137"/>
        <w:jc w:val="center"/>
        <w:tblLayout w:type="fixed"/>
        <w:tblLook w:firstRow="1" w:lastRow="0" w:firstColumn="0" w:lastColumn="0" w:noHBand="0" w:noVBand="0" w:val="0020"/>
      </w:tblPr>
      <w:tblGrid>
        <w:gridCol w:w="1134"/>
        <w:gridCol w:w="3231"/>
        <w:gridCol w:w="2381"/>
        <w:gridCol w:w="3912"/>
        <w:gridCol w:w="3628"/>
        <w:gridCol w:w="850"/>
      </w:tblGrid>
      <w:tr>
        <w:trPr>
          <w:tblHeader w:val="on"/>
          <w:cantSplit/>
          <w:tblHeader w:val="true"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名稱／用途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尺寸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基底／變體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動畫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優先級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ICO-01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HUD圖示；日期／時間／金錢／疲勞／持案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16×16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5；1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ICO-02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能力圖示；訴訟／口才／體力／人氣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16×16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4；1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ICO-03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案型圖示；詐欺／離婚／車禍／民事／特殊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16×16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5；1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ICO-04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每日行動圖示；寫狀／摸魚／查資料／馬屁／招聘／跳槽／健身／脫口秀／講座／睡覺／早餐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16×16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11；1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ICO-05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四時段圖示；09／13／16／19時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16×16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4；1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ICO-06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員工狀態圖示；正常／疲勞／離職警告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16×16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3；1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ICO-07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城市圖示；臺北／臺中／高雄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24×24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3；1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ICO-08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收案與結果圖示；諮詢／已收費／勝訴／敗訴／待分派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16×16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5；1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ICO-09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提示控制圖示；資訊／警告／確認／取消／鎖定／暫停／加速／保存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16×16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8；1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</w:tbl>
    <w:bookmarkEnd w:id="33"/>
    <w:bookmarkStart w:id="34" w:name="特性圖示"/>
    <w:p>
      <w:pPr>
        <w:pStyle w:val="Heading3"/>
      </w:pPr>
      <w:r>
        <w:t xml:space="preserve">特性圖示</w:t>
      </w:r>
    </w:p>
    <w:tbl>
      <w:tblPr>
        <w:tblStyle w:val="TableGrid"/>
        <w:tblW w:type="dxa" w:w="15137"/>
        <w:jc w:val="center"/>
        <w:tblLayout w:type="fixed"/>
        <w:tblLook w:firstRow="1" w:lastRow="0" w:firstColumn="0" w:lastColumn="0" w:noHBand="0" w:noVBand="0" w:val="0020"/>
      </w:tblPr>
      <w:tblGrid>
        <w:gridCol w:w="1134"/>
        <w:gridCol w:w="3231"/>
        <w:gridCol w:w="2381"/>
        <w:gridCol w:w="3912"/>
        <w:gridCol w:w="3628"/>
        <w:gridCol w:w="850"/>
      </w:tblGrid>
      <w:tr>
        <w:trPr>
          <w:tblHeader w:val="on"/>
          <w:cantSplit/>
          <w:tblHeader w:val="true"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名稱／用途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尺寸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基底／變體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動畫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優先級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TRT-01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頂級牛馬；角色建立／角色／候選人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24×24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1；金色框；一般／未選／已選／不可選4狀態由UI疊加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TRT-02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訴訟之神；角色建立／角色／候選人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24×24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1；金色框；一般／未選／已選／不可選4狀態由UI疊加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TRT-03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顏值頂天；角色建立／角色／候選人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24×24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1；金色框；一般／未選／已選／不可選4狀態由UI疊加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TRT-04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被律師耽誤的商人；角色建立／角色／候選人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24×24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1；金色框；一般／未選／已選／不可選4狀態由UI疊加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TRT-05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多面手；角色建立／角色／候選人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24×24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1；金色框；一般／未選／已選／不可選4狀態由UI疊加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TRT-06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鐵人；角色建立／角色／候選人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24×24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1；銀色框；一般／未選／已選／不可選4狀態由UI疊加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TRT-07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學霸；角色建立／角色／候選人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24×24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1；銀色框；一般／未選／已選／不可選4狀態由UI疊加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TRT-08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嘴遁；角色建立／角色／候選人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24×24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1；銀色框；一般／未選／已選／不可選4狀態由UI疊加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TRT-09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人氣王；角色建立／角色／候選人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24×24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1；銀色框；一般／未選／已選／不可選4狀態由UI疊加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TRT-10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忠誠；角色建立／角色／候選人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24×24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1；銅色框；一般／未選／已選／不可選4狀態由UI疊加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TRT-11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長相端正；角色建立／角色／候選人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24×24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1；銅色框；一般／未選／已選／不可選4狀態由UI疊加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TRT-12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健康；角色建立／角色／候選人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24×24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1；銅色框；一般／未選／已選／不可選4狀態由UI疊加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TRT-13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光頭；角色建立／角色／候選人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24×24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1；銅色框；一般／未選／已選／不可選4狀態由UI疊加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</w:tbl>
    <w:bookmarkEnd w:id="34"/>
    <w:bookmarkStart w:id="35" w:name="事件插圖"/>
    <w:p>
      <w:pPr>
        <w:pStyle w:val="Heading3"/>
      </w:pPr>
      <w:r>
        <w:t xml:space="preserve">事件插圖</w:t>
      </w:r>
    </w:p>
    <w:tbl>
      <w:tblPr>
        <w:tblStyle w:val="TableGrid"/>
        <w:tblW w:type="dxa" w:w="15137"/>
        <w:jc w:val="center"/>
        <w:tblLayout w:type="fixed"/>
        <w:tblLook w:firstRow="1" w:lastRow="0" w:firstColumn="0" w:lastColumn="0" w:noHBand="0" w:noVBand="0" w:val="0020"/>
      </w:tblPr>
      <w:tblGrid>
        <w:gridCol w:w="1134"/>
        <w:gridCol w:w="3231"/>
        <w:gridCol w:w="2381"/>
        <w:gridCol w:w="3912"/>
        <w:gridCol w:w="3628"/>
        <w:gridCol w:w="850"/>
      </w:tblGrid>
      <w:tr>
        <w:trPr>
          <w:tblHeader w:val="on"/>
          <w:cantSplit/>
          <w:tblHeader w:val="true"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名稱／用途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尺寸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基底／變體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動畫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優先級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EVT-01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吃早餐；事件對話上方／夜間選單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384×216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1；1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EVT-02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同事打屁；事件對話上方／夜間選單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384×216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1；1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EVT-03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拍馬屁／老闆加派工作；事件對話上方／夜間選單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384×216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1；1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EVT-04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臨時開庭；事件對話上方／夜間選單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384×216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1；1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EVT-05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健身；事件對話上方／夜間選單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384×216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1；1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EVT-06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脫口秀；事件對話上方／夜間選單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384×216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1；1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EVT-07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法律講座；事件對話上方／夜間選單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384×216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1；1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EVT-08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我只想睡覺；事件對話上方／夜間選單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384×216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1；1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EVT-09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招聘／面試；事件對話上方／夜間選單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384×216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1；1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EVT-10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本所／分所開幕；事件對話上方／夜間選單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384×216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1；1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P1</w:t>
            </w:r>
          </w:p>
        </w:tc>
      </w:tr>
    </w:tbl>
    <w:bookmarkEnd w:id="35"/>
    <w:bookmarkStart w:id="36" w:name="視覺特效"/>
    <w:p>
      <w:pPr>
        <w:pStyle w:val="Heading3"/>
      </w:pPr>
      <w:r>
        <w:t xml:space="preserve">視覺特效</w:t>
      </w:r>
    </w:p>
    <w:tbl>
      <w:tblPr>
        <w:tblStyle w:val="TableGrid"/>
        <w:tblW w:type="dxa" w:w="15137"/>
        <w:jc w:val="center"/>
        <w:tblLayout w:type="fixed"/>
        <w:tblLook w:firstRow="1" w:lastRow="0" w:firstColumn="0" w:lastColumn="0" w:noHBand="0" w:noVBand="0" w:val="0020"/>
      </w:tblPr>
      <w:tblGrid>
        <w:gridCol w:w="1134"/>
        <w:gridCol w:w="3231"/>
        <w:gridCol w:w="2381"/>
        <w:gridCol w:w="3912"/>
        <w:gridCol w:w="3628"/>
        <w:gridCol w:w="850"/>
      </w:tblGrid>
      <w:tr>
        <w:trPr>
          <w:tblHeader w:val="on"/>
          <w:cantSplit/>
          <w:tblHeader w:val="true"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名稱／用途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尺寸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基底／變體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動畫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優先級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FX-01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像素狀態標記；收款／成長／警告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16×16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3；1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每基底4格，共12格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P1</w:t>
            </w:r>
          </w:p>
        </w:tc>
      </w:tr>
    </w:tbl>
    <w:bookmarkEnd w:id="36"/>
    <w:bookmarkStart w:id="37" w:name="版面規範"/>
    <w:p>
      <w:pPr>
        <w:pStyle w:val="Heading3"/>
      </w:pPr>
      <w:r>
        <w:t xml:space="preserve">版面規範</w:t>
      </w:r>
    </w:p>
    <w:tbl>
      <w:tblPr>
        <w:tblStyle w:val="TableGrid"/>
        <w:tblW w:type="dxa" w:w="15137"/>
        <w:jc w:val="center"/>
        <w:tblLayout w:type="fixed"/>
        <w:tblLook w:firstRow="1" w:lastRow="0" w:firstColumn="0" w:lastColumn="0" w:noHBand="0" w:noVBand="0" w:val="0020"/>
      </w:tblPr>
      <w:tblGrid>
        <w:gridCol w:w="1134"/>
        <w:gridCol w:w="3231"/>
        <w:gridCol w:w="2381"/>
        <w:gridCol w:w="3912"/>
        <w:gridCol w:w="3628"/>
        <w:gridCol w:w="850"/>
      </w:tblGrid>
      <w:tr>
        <w:trPr>
          <w:tblHeader w:val="on"/>
          <w:cantSplit/>
          <w:tblHeader w:val="true"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名稱／用途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尺寸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基底／變體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動畫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17323D"/>
          </w:tcPr>
          <w:p>
            <w:pPr>
              <w:keepNext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b/>
                <w:color w:val="FFFFFF"/>
                <w:sz w:val="19"/>
              </w:rPr>
              <w:t xml:space="preserve">優先級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BRD-01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繁中文字型與樣式樣張；全部文字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640×360樣張 + 字級表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1；1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BRD-02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配色與風格對照板；美術統一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1280×720參考板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1；1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FFFFF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BRD-03</w:t>
            </w:r>
          </w:p>
        </w:tc>
        <w:tc>
          <w:tcPr>
            <w:tcW w:type="dxa" w:w="323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美術整合測試場；Godot導入與像素驗收</w:t>
            </w:r>
          </w:p>
        </w:tc>
        <w:tc>
          <w:tcPr>
            <w:tcW w:type="dxa" w:w="2381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640×360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1；1</w:t>
            </w:r>
          </w:p>
        </w:tc>
        <w:tc>
          <w:tcPr>
            <w:tcW w:type="dxa" w:w="3628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靜態 1 格</w:t>
            </w:r>
          </w:p>
        </w:tc>
        <w:tc>
          <w:tcPr>
            <w:tcW w:type="dxa" w:w="850"/>
            <w:vAlign w:val="center"/>
            <w:tcMar>
              <w:top w:w="65" w:type="dxa"/>
              <w:bottom w:w="65" w:type="dxa"/>
              <w:left w:w="70" w:type="dxa"/>
              <w:right w:w="70" w:type="dxa"/>
            </w:tcMar>
            <w:shd w:fill="F4EFE4"/>
          </w:tcPr>
          <w:p>
            <w:pPr>
              <w:keepNext w:val="0"/>
              <w:widowControl/>
              <w:spacing w:before="0" w:after="20" w:line="252" w:lineRule="auto"/>
              <w:jc w:val="left"/>
            </w:pPr>
            <w:r>
              <w:rPr>
                <w:rFonts w:ascii="Noto Sans CJK TC" w:hAnsi="Noto Sans CJK TC" w:eastAsia="Noto Sans CJK TC" w:cs="Noto Sans CJK TC"/>
                <w:color w:val="17323D"/>
                <w:sz w:val="19"/>
              </w:rPr>
              <w:t xml:space="preserve">P0</w:t>
            </w:r>
          </w:p>
        </w:tc>
      </w:tr>
    </w:tbl>
    <w:p>
      <w:pPr>
        <w:pStyle w:val="BodyText"/>
        <w:widowControl/>
      </w:pPr>
      <w:r>
        <w:rPr>
          <w:rFonts w:ascii="Noto Sans CJK TC" w:hAnsi="Noto Sans CJK TC" w:eastAsia="Noto Sans CJK TC" w:cs="Noto Sans CJK TC"/>
          <w:sz w:val="19"/>
        </w:rPr>
        <w:t xml:space="preserve">各項的錨點、交付格式與驗收重點以附帶CSV為完整派工欄位；本Markdown表格為閱讀摘要，兩者由同一份資料產生。</w:t>
      </w:r>
    </w:p>
    <w:p>
      <w:pPr>
        <w:pStyle w:val="BodyText"/>
        <w:widowControl/>
      </w:pPr>
      <w:r>
        <w:rPr>
          <w:rFonts w:ascii="Noto Sans CJK TC" w:hAnsi="Noto Sans CJK TC" w:eastAsia="Noto Sans CJK TC" w:cs="Noto Sans CJK TC"/>
          <w:sz w:val="19"/>
        </w:rPr>
        <w:t xml:space="preserve">客戶諮詢事件直接組合既有辦公室場景、角色肖像與UI-08事件對話模板；媒體事件使用SCN-13，無須再重複製作一張「諮詢」或「媒體」完整插圖。</w:t>
      </w:r>
    </w:p>
    <w:bookmarkEnd w:id="37"/>
    <w:bookmarkEnd w:id="38"/>
    <w:bookmarkStart w:id="39" w:name="命名資料夾與交付包"/>
    <w:p>
      <w:pPr>
        <w:pStyle w:val="Heading2"/>
      </w:pPr>
      <w:r>
        <w:t xml:space="preserve">5. 命名、資料夾與交付包</w:t>
      </w:r>
    </w:p>
    <w:p>
      <w:pPr>
        <w:pStyle w:val="FirstParagraph"/>
        <w:widowControl/>
      </w:pPr>
      <w:r>
        <w:rPr>
          <w:rFonts w:ascii="Noto Sans CJK TC" w:hAnsi="Noto Sans CJK TC" w:eastAsia="Noto Sans CJK TC" w:cs="Noto Sans CJK TC"/>
          <w:sz w:val="19"/>
        </w:rPr>
        <w:t xml:space="preserve">建議目錄（未實作時作為交付結構，不表示這些PNG已經存在）：</w:t>
      </w:r>
    </w:p>
    <w:p>
      <w:pPr>
        <w:pStyle w:val="SourceCode"/>
        <w:widowControl/>
      </w:pPr>
      <w:r>
        <w:rPr>
          <w:rStyle w:val="VerbatimChar"/>
          <w:rFonts w:ascii="Noto Sans CJK TC" w:hAnsi="Noto Sans CJK TC" w:eastAsia="Noto Sans CJK TC" w:cs="Noto Sans CJK TC"/>
          <w:sz w:val="19"/>
        </w:rPr>
        <w:t xml:space="preserve">art_source/                 # 可編輯Aseprite／Krita／分層源檔</w:t>
      </w:r>
      <w:r>
        <w:rPr>
          <w:rFonts w:ascii="Noto Sans CJK TC" w:hAnsi="Noto Sans CJK TC" w:eastAsia="Noto Sans CJK TC" w:cs="Noto Sans CJK TC"/>
          <w:sz w:val="19"/>
        </w:rPr>
        <w:br/>
      </w:r>
      <w:r>
        <w:rPr>
          <w:rStyle w:val="VerbatimChar"/>
          <w:rFonts w:ascii="Noto Sans CJK TC" w:hAnsi="Noto Sans CJK TC" w:eastAsia="Noto Sans CJK TC" w:cs="Noto Sans CJK TC"/>
          <w:sz w:val="19"/>
        </w:rPr>
        <w:t xml:space="preserve">art_export/</w:t>
      </w:r>
      <w:r>
        <w:rPr>
          <w:rFonts w:ascii="Noto Sans CJK TC" w:hAnsi="Noto Sans CJK TC" w:eastAsia="Noto Sans CJK TC" w:cs="Noto Sans CJK TC"/>
          <w:sz w:val="19"/>
        </w:rPr>
        <w:br/>
      </w:r>
      <w:r>
        <w:rPr>
          <w:rStyle w:val="VerbatimChar"/>
          <w:rFonts w:ascii="Noto Sans CJK TC" w:hAnsi="Noto Sans CJK TC" w:eastAsia="Noto Sans CJK TC" w:cs="Noto Sans CJK TC"/>
          <w:sz w:val="19"/>
        </w:rPr>
        <w:t xml:space="preserve">  scenes/                  # scn_taipei_hq_day_v01.png</w:t>
      </w:r>
      <w:r>
        <w:rPr>
          <w:rFonts w:ascii="Noto Sans CJK TC" w:hAnsi="Noto Sans CJK TC" w:eastAsia="Noto Sans CJK TC" w:cs="Noto Sans CJK TC"/>
          <w:sz w:val="19"/>
        </w:rPr>
        <w:br/>
      </w:r>
      <w:r>
        <w:rPr>
          <w:rStyle w:val="VerbatimChar"/>
          <w:rFonts w:ascii="Noto Sans CJK TC" w:hAnsi="Noto Sans CJK TC" w:eastAsia="Noto Sans CJK TC" w:cs="Noto Sans CJK TC"/>
          <w:sz w:val="19"/>
        </w:rPr>
        <w:t xml:space="preserve">  tiles/                   # til_office_floor_v01.png</w:t>
      </w:r>
      <w:r>
        <w:rPr>
          <w:rFonts w:ascii="Noto Sans CJK TC" w:hAnsi="Noto Sans CJK TC" w:eastAsia="Noto Sans CJK TC" w:cs="Noto Sans CJK TC"/>
          <w:sz w:val="19"/>
        </w:rPr>
        <w:br/>
      </w:r>
      <w:r>
        <w:rPr>
          <w:rStyle w:val="VerbatimChar"/>
          <w:rFonts w:ascii="Noto Sans CJK TC" w:hAnsi="Noto Sans CJK TC" w:eastAsia="Noto Sans CJK TC" w:cs="Noto Sans CJK TC"/>
          <w:sz w:val="19"/>
        </w:rPr>
        <w:t xml:space="preserve">  characters/              # chr_hero_m_sheet_v01.png</w:t>
      </w:r>
      <w:r>
        <w:rPr>
          <w:rFonts w:ascii="Noto Sans CJK TC" w:hAnsi="Noto Sans CJK TC" w:eastAsia="Noto Sans CJK TC" w:cs="Noto Sans CJK TC"/>
          <w:sz w:val="19"/>
        </w:rPr>
        <w:br/>
      </w:r>
      <w:r>
        <w:rPr>
          <w:rStyle w:val="VerbatimChar"/>
          <w:rFonts w:ascii="Noto Sans CJK TC" w:hAnsi="Noto Sans CJK TC" w:eastAsia="Noto Sans CJK TC" w:cs="Noto Sans CJK TC"/>
          <w:sz w:val="19"/>
        </w:rPr>
        <w:t xml:space="preserve">  portraits/               # por_hero_m_tired_v01.png</w:t>
      </w:r>
      <w:r>
        <w:rPr>
          <w:rFonts w:ascii="Noto Sans CJK TC" w:hAnsi="Noto Sans CJK TC" w:eastAsia="Noto Sans CJK TC" w:cs="Noto Sans CJK TC"/>
          <w:sz w:val="19"/>
        </w:rPr>
        <w:br/>
      </w:r>
      <w:r>
        <w:rPr>
          <w:rStyle w:val="VerbatimChar"/>
          <w:rFonts w:ascii="Noto Sans CJK TC" w:hAnsi="Noto Sans CJK TC" w:eastAsia="Noto Sans CJK TC" w:cs="Noto Sans CJK TC"/>
          <w:sz w:val="19"/>
        </w:rPr>
        <w:t xml:space="preserve">  props/                   # prp_desk_v01.png</w:t>
      </w:r>
      <w:r>
        <w:rPr>
          <w:rFonts w:ascii="Noto Sans CJK TC" w:hAnsi="Noto Sans CJK TC" w:eastAsia="Noto Sans CJK TC" w:cs="Noto Sans CJK TC"/>
          <w:sz w:val="19"/>
        </w:rPr>
        <w:br/>
      </w:r>
      <w:r>
        <w:rPr>
          <w:rStyle w:val="VerbatimChar"/>
          <w:rFonts w:ascii="Noto Sans CJK TC" w:hAnsi="Noto Sans CJK TC" w:eastAsia="Noto Sans CJK TC" w:cs="Noto Sans CJK TC"/>
          <w:sz w:val="19"/>
        </w:rPr>
        <w:t xml:space="preserve">  ui/                      # ui_save_slot_v01.png</w:t>
      </w:r>
      <w:r>
        <w:rPr>
          <w:rFonts w:ascii="Noto Sans CJK TC" w:hAnsi="Noto Sans CJK TC" w:eastAsia="Noto Sans CJK TC" w:cs="Noto Sans CJK TC"/>
          <w:sz w:val="19"/>
        </w:rPr>
        <w:br/>
      </w:r>
      <w:r>
        <w:rPr>
          <w:rStyle w:val="VerbatimChar"/>
          <w:rFonts w:ascii="Noto Sans CJK TC" w:hAnsi="Noto Sans CJK TC" w:eastAsia="Noto Sans CJK TC" w:cs="Noto Sans CJK TC"/>
          <w:sz w:val="19"/>
        </w:rPr>
        <w:t xml:space="preserve">  icons/                   # ico_energy_v01.png</w:t>
      </w:r>
      <w:r>
        <w:rPr>
          <w:rFonts w:ascii="Noto Sans CJK TC" w:hAnsi="Noto Sans CJK TC" w:eastAsia="Noto Sans CJK TC" w:cs="Noto Sans CJK TC"/>
          <w:sz w:val="19"/>
        </w:rPr>
        <w:br/>
      </w:r>
      <w:r>
        <w:rPr>
          <w:rStyle w:val="VerbatimChar"/>
          <w:rFonts w:ascii="Noto Sans CJK TC" w:hAnsi="Noto Sans CJK TC" w:eastAsia="Noto Sans CJK TC" w:cs="Noto Sans CJK TC"/>
          <w:sz w:val="19"/>
        </w:rPr>
        <w:t xml:space="preserve">  traits/                  # trt_top_workhorse_v01.png</w:t>
      </w:r>
      <w:r>
        <w:rPr>
          <w:rFonts w:ascii="Noto Sans CJK TC" w:hAnsi="Noto Sans CJK TC" w:eastAsia="Noto Sans CJK TC" w:cs="Noto Sans CJK TC"/>
          <w:sz w:val="19"/>
        </w:rPr>
        <w:br/>
      </w:r>
      <w:r>
        <w:rPr>
          <w:rStyle w:val="VerbatimChar"/>
          <w:rFonts w:ascii="Noto Sans CJK TC" w:hAnsi="Noto Sans CJK TC" w:eastAsia="Noto Sans CJK TC" w:cs="Noto Sans CJK TC"/>
          <w:sz w:val="19"/>
        </w:rPr>
        <w:t xml:space="preserve">  events/                  # evt_breakfast_v01.png</w:t>
      </w:r>
      <w:r>
        <w:rPr>
          <w:rFonts w:ascii="Noto Sans CJK TC" w:hAnsi="Noto Sans CJK TC" w:eastAsia="Noto Sans CJK TC" w:cs="Noto Sans CJK TC"/>
          <w:sz w:val="19"/>
        </w:rPr>
        <w:br/>
      </w:r>
      <w:r>
        <w:rPr>
          <w:rStyle w:val="VerbatimChar"/>
          <w:rFonts w:ascii="Noto Sans CJK TC" w:hAnsi="Noto Sans CJK TC" w:eastAsia="Noto Sans CJK TC" w:cs="Noto Sans CJK TC"/>
          <w:sz w:val="19"/>
        </w:rPr>
        <w:t xml:space="preserve">  fx/                      # fx_growth_v01.png</w:t>
      </w:r>
      <w:r>
        <w:rPr>
          <w:rFonts w:ascii="Noto Sans CJK TC" w:hAnsi="Noto Sans CJK TC" w:eastAsia="Noto Sans CJK TC" w:cs="Noto Sans CJK TC"/>
          <w:sz w:val="19"/>
        </w:rPr>
        <w:br/>
      </w:r>
      <w:r>
        <w:rPr>
          <w:rStyle w:val="VerbatimChar"/>
          <w:rFonts w:ascii="Noto Sans CJK TC" w:hAnsi="Noto Sans CJK TC" w:eastAsia="Noto Sans CJK TC" w:cs="Noto Sans CJK TC"/>
          <w:sz w:val="19"/>
        </w:rPr>
        <w:t xml:space="preserve">  metadata/                # 動畫、atlas、9-slice與授權清單</w:t>
      </w:r>
      <w:r>
        <w:rPr>
          <w:rFonts w:ascii="Noto Sans CJK TC" w:hAnsi="Noto Sans CJK TC" w:eastAsia="Noto Sans CJK TC" w:cs="Noto Sans CJK TC"/>
          <w:sz w:val="19"/>
        </w:rPr>
        <w:br/>
      </w:r>
      <w:r>
        <w:rPr>
          <w:rStyle w:val="VerbatimChar"/>
          <w:rFonts w:ascii="Noto Sans CJK TC" w:hAnsi="Noto Sans CJK TC" w:eastAsia="Noto Sans CJK TC" w:cs="Noto Sans CJK TC"/>
          <w:sz w:val="19"/>
        </w:rPr>
        <w:t xml:space="preserve">concept_reference/         # 風格／構圖參考，不直接當遊戲素材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Noto Sans CJK TC" w:hAnsi="Noto Sans CJK TC" w:eastAsia="Noto Sans CJK TC" w:cs="Noto Sans CJK TC"/>
          <w:sz w:val="19"/>
        </w:rPr>
        <w:t xml:space="preserve">檔名一律英文snake_case，附資產ID對照；版本不使用「final_final」。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Noto Sans CJK TC" w:hAnsi="Noto Sans CJK TC" w:eastAsia="Noto Sans CJK TC" w:cs="Noto Sans CJK TC"/>
          <w:sz w:val="19"/>
        </w:rPr>
        <w:t xml:space="preserve">精靈與UI交付RGBA透明PNG；背景可不透明。以原生像素交付，不先放大或JPEG壓縮。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Noto Sans CJK TC" w:hAnsi="Noto Sans CJK TC" w:eastAsia="Noto Sans CJK TC" w:cs="Noto Sans CJK TC"/>
          <w:sz w:val="19"/>
        </w:rPr>
        <w:t xml:space="preserve">另行打包的atlas加入至少1像素透明padding並確認採樣無溢色；含padding的實際尺寸與矩形寫入metadata。原始256×288／256×192人物邏輯表不含padding，兩種交付物不可混為同一尺寸。Godot設定nearest，場景縮放使用整數倍。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Noto Sans CJK TC" w:hAnsi="Noto Sans CJK TC" w:eastAsia="Noto Sans CJK TC" w:cs="Noto Sans CJK TC"/>
          <w:sz w:val="19"/>
        </w:rPr>
        <w:t xml:space="preserve">逐張／整表二擇一要在派工時固定；本版人物預設整表＋JSON。不得將所有人物、頭像、字型混進同一張無索引大圖。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Noto Sans CJK TC" w:hAnsi="Noto Sans CJK TC" w:eastAsia="Noto Sans CJK TC" w:cs="Noto Sans CJK TC"/>
          <w:sz w:val="19"/>
        </w:rPr>
        <w:t xml:space="preserve">源檔保留圖層名稱與遮擋標示；場景標出前景／後景、人物通道與家具接觸點。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Noto Sans CJK TC" w:hAnsi="Noto Sans CJK TC" w:eastAsia="Noto Sans CJK TC" w:cs="Noto Sans CJK TC"/>
          <w:sz w:val="19"/>
        </w:rPr>
        <w:t xml:space="preserve">交付字型與第三方素材時附授權及來源；概念參考圖標示生成／作者與用途，不把參考稿當成逐格精修完成稿。</w:t>
      </w:r>
    </w:p>
    <w:bookmarkEnd w:id="39"/>
    <w:bookmarkStart w:id="41" w:name="製作順序與驗收"/>
    <w:p>
      <w:pPr>
        <w:pStyle w:val="Heading2"/>
      </w:pPr>
      <w:r>
        <w:t xml:space="preserve">6. 製作順序與驗收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Noto Sans CJK TC" w:hAnsi="Noto Sans CJK TC" w:eastAsia="Noto Sans CJK TC" w:cs="Noto Sans CJK TC"/>
          <w:b/>
          <w:bCs/>
          <w:sz w:val="19"/>
        </w:rPr>
        <w:t xml:space="preserve">視覺定調：</w:t>
      </w:r>
      <w:r>
        <w:rPr>
          <w:rFonts w:ascii="Noto Sans CJK TC" w:hAnsi="Noto Sans CJK TC" w:eastAsia="Noto Sans CJK TC" w:cs="Noto Sans CJK TC"/>
          <w:sz w:val="19"/>
        </w:rPr>
        <w:t xml:space="preserve"> </w:t>
      </w:r>
      <w:r>
        <w:rPr>
          <w:rFonts w:ascii="Noto Sans CJK TC" w:hAnsi="Noto Sans CJK TC" w:eastAsia="Noto Sans CJK TC" w:cs="Noto Sans CJK TC"/>
          <w:sz w:val="19"/>
        </w:rPr>
        <w:t xml:space="preserve">先審概念板、色票、主角兩外觀、小所及自有臺北本所，確立視角與比例。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Noto Sans CJK TC" w:hAnsi="Noto Sans CJK TC" w:eastAsia="Noto Sans CJK TC" w:cs="Noto Sans CJK TC"/>
          <w:b/>
          <w:bCs/>
          <w:sz w:val="19"/>
        </w:rPr>
        <w:t xml:space="preserve">垂直切片：</w:t>
      </w:r>
      <w:r>
        <w:rPr>
          <w:rFonts w:ascii="Noto Sans CJK TC" w:hAnsi="Noto Sans CJK TC" w:eastAsia="Noto Sans CJK TC" w:cs="Noto Sans CJK TC"/>
          <w:sz w:val="19"/>
        </w:rPr>
        <w:t xml:space="preserve"> </w:t>
      </w:r>
      <w:r>
        <w:rPr>
          <w:rFonts w:ascii="Noto Sans CJK TC" w:hAnsi="Noto Sans CJK TC" w:eastAsia="Noto Sans CJK TC" w:cs="Noto Sans CJK TC"/>
          <w:sz w:val="19"/>
        </w:rPr>
        <w:t xml:space="preserve">完成P0場景、人物、家具、行動／HUD圖示與存檔模板，組成一個可讀的09:00工作畫面。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Noto Sans CJK TC" w:hAnsi="Noto Sans CJK TC" w:eastAsia="Noto Sans CJK TC" w:cs="Noto Sans CJK TC"/>
          <w:b/>
          <w:bCs/>
          <w:sz w:val="19"/>
        </w:rPr>
        <w:t xml:space="preserve">可用性：</w:t>
      </w:r>
      <w:r>
        <w:rPr>
          <w:rFonts w:ascii="Noto Sans CJK TC" w:hAnsi="Noto Sans CJK TC" w:eastAsia="Noto Sans CJK TC" w:cs="Noto Sans CJK TC"/>
          <w:sz w:val="19"/>
        </w:rPr>
        <w:t xml:space="preserve"> </w:t>
      </w:r>
      <w:r>
        <w:rPr>
          <w:rFonts w:ascii="Noto Sans CJK TC" w:hAnsi="Noto Sans CJK TC" w:eastAsia="Noto Sans CJK TC" w:cs="Noto Sans CJK TC"/>
          <w:sz w:val="19"/>
        </w:rPr>
        <w:t xml:space="preserve">用實際繁中文字、長案名、金額、疲勞小數、二十槽列表驗收；概念圖上的假字不作正式UI。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Noto Sans CJK TC" w:hAnsi="Noto Sans CJK TC" w:eastAsia="Noto Sans CJK TC" w:cs="Noto Sans CJK TC"/>
          <w:b/>
          <w:bCs/>
          <w:sz w:val="19"/>
        </w:rPr>
        <w:t xml:space="preserve">擴充：</w:t>
      </w:r>
      <w:r>
        <w:rPr>
          <w:rFonts w:ascii="Noto Sans CJK TC" w:hAnsi="Noto Sans CJK TC" w:eastAsia="Noto Sans CJK TC" w:cs="Noto Sans CJK TC"/>
          <w:sz w:val="19"/>
        </w:rPr>
        <w:t xml:space="preserve"> </w:t>
      </w:r>
      <w:r>
        <w:rPr>
          <w:rFonts w:ascii="Noto Sans CJK TC" w:hAnsi="Noto Sans CJK TC" w:eastAsia="Noto Sans CJK TC" w:cs="Noto Sans CJK TC"/>
          <w:sz w:val="19"/>
        </w:rPr>
        <w:t xml:space="preserve">完成五規模、合署、三城市、剩餘人物肖像與事件插圖；家具及角色優先共用。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Noto Sans CJK TC" w:hAnsi="Noto Sans CJK TC" w:eastAsia="Noto Sans CJK TC" w:cs="Noto Sans CJK TC"/>
          <w:b/>
          <w:bCs/>
          <w:sz w:val="19"/>
        </w:rPr>
        <w:t xml:space="preserve">動畫與整合：</w:t>
      </w:r>
      <w:r>
        <w:rPr>
          <w:rFonts w:ascii="Noto Sans CJK TC" w:hAnsi="Noto Sans CJK TC" w:eastAsia="Noto Sans CJK TC" w:cs="Noto Sans CJK TC"/>
          <w:sz w:val="19"/>
        </w:rPr>
        <w:t xml:space="preserve"> </w:t>
      </w:r>
      <w:r>
        <w:rPr>
          <w:rFonts w:ascii="Noto Sans CJK TC" w:hAnsi="Noto Sans CJK TC" w:eastAsia="Noto Sans CJK TC" w:cs="Noto Sans CJK TC"/>
          <w:sz w:val="19"/>
        </w:rPr>
        <w:t xml:space="preserve">檢查腳點、走路四向、坐姿接觸點、遮擋、32格拼接，並在1×／2×／3×縮放檢查清晰度。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ascii="Noto Sans CJK TC" w:hAnsi="Noto Sans CJK TC" w:eastAsia="Noto Sans CJK TC" w:cs="Noto Sans CJK TC"/>
          <w:b/>
          <w:bCs/>
          <w:sz w:val="19"/>
        </w:rPr>
        <w:t xml:space="preserve">交付檢核：</w:t>
      </w:r>
      <w:r>
        <w:rPr>
          <w:rFonts w:ascii="Noto Sans CJK TC" w:hAnsi="Noto Sans CJK TC" w:eastAsia="Noto Sans CJK TC" w:cs="Noto Sans CJK TC"/>
          <w:sz w:val="19"/>
        </w:rPr>
        <w:t xml:space="preserve"> </w:t>
      </w:r>
      <w:r>
        <w:rPr>
          <w:rFonts w:ascii="Noto Sans CJK TC" w:hAnsi="Noto Sans CJK TC" w:eastAsia="Noto Sans CJK TC" w:cs="Noto Sans CJK TC"/>
          <w:sz w:val="19"/>
        </w:rPr>
        <w:t xml:space="preserve">ID與檔名對得上、尺寸正確、透明背景乾淨、源檔可開、CSV狀態更新；沒有音樂或音訊待製工作混入包中。</w:t>
      </w:r>
    </w:p>
    <w:bookmarkStart w:id="40" w:name="不可混淆的完成度"/>
    <w:p>
      <w:pPr>
        <w:pStyle w:val="Heading3"/>
      </w:pPr>
      <w:r>
        <w:t xml:space="preserve">不可混淆的完成度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Noto Sans CJK TC" w:hAnsi="Noto Sans CJK TC" w:eastAsia="Noto Sans CJK TC" w:cs="Noto Sans CJK TC"/>
          <w:sz w:val="19"/>
        </w:rPr>
        <w:t xml:space="preserve">有概念圖：已定義方向與氣氛。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Noto Sans CJK TC" w:hAnsi="Noto Sans CJK TC" w:eastAsia="Noto Sans CJK TC" w:cs="Noto Sans CJK TC"/>
          <w:sz w:val="19"/>
        </w:rPr>
        <w:t xml:space="preserve">有精靈草圖：可評估形體，尚未等同完整動畫。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Noto Sans CJK TC" w:hAnsi="Noto Sans CJK TC" w:eastAsia="Noto Sans CJK TC" w:cs="Noto Sans CJK TC"/>
          <w:sz w:val="19"/>
        </w:rPr>
        <w:t xml:space="preserve">有PNG：仍須檢查尺寸、透明、腳點、每格狀態及授權。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Noto Sans CJK TC" w:hAnsi="Noto Sans CJK TC" w:eastAsia="Noto Sans CJK TC" w:cs="Noto Sans CJK TC"/>
          <w:sz w:val="19"/>
        </w:rPr>
        <w:t xml:space="preserve">通過遊戲整合驗收：才可標為可用遊戲素材。</w:t>
      </w:r>
    </w:p>
    <w:p>
      <w:pPr>
        <w:pStyle w:val="FirstParagraph"/>
        <w:widowControl/>
      </w:pPr>
      <w:r>
        <w:rPr>
          <w:rFonts w:ascii="Noto Sans CJK TC" w:hAnsi="Noto Sans CJK TC" w:eastAsia="Noto Sans CJK TC" w:cs="Noto Sans CJK TC"/>
          <w:sz w:val="19"/>
        </w:rPr>
        <w:t xml:space="preserve">此文件目前交付的是設定與生產清單；實際完成的概念圖以主簡報所附圖檔為準。</w:t>
      </w:r>
    </w:p>
    <w:bookmarkEnd w:id="40"/>
    <w:bookmarkEnd w:id="41"/>
    <w:bookmarkEnd w:id="42"/>
    <w:sectPr w:rsidR="00FC693F" w:rsidRPr="0006063C" w:rsidSect="00034616">
      <w:headerReference w:type="default" r:id="rId9"/>
      <w:footerReference w:type="default" r:id="rId10"/>
      <w:pgSz w:h="11906" w:orient="landscape" w:w="16838"/>
      <w:pgMar w:bottom="794" w:footer="283" w:gutter="0" w:header="283" w:left="850" w:right="850" w:top="79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TC" w:hAnsi="Noto Sans CJK TC" w:eastAsia="Noto Sans CJK TC" w:cs="Noto Sans CJK TC"/>
        <w:color w:val="17323D"/>
        <w:sz w:val="16"/>
      </w:rPr>
      <w:t xml:space="preserve">第 </w:t>
    </w:r>
    <w:r>
      <w:rPr>
        <w:rFonts w:ascii="Noto Sans CJK TC" w:hAnsi="Noto Sans CJK TC" w:eastAsia="Noto Sans CJK TC" w:cs="Noto Sans CJK TC"/>
        <w:color w:val="17323D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Noto Sans CJK TC" w:hAnsi="Noto Sans CJK TC" w:eastAsia="Noto Sans CJK TC" w:cs="Noto Sans CJK TC"/>
        <w:color w:val="17323D"/>
        <w:sz w:val="16"/>
      </w:rPr>
      <w:t xml:space="preserve"> / </w:t>
    </w:r>
    <w:r>
      <w:rPr>
        <w:rFonts w:ascii="Noto Sans CJK TC" w:hAnsi="Noto Sans CJK TC" w:eastAsia="Noto Sans CJK TC" w:cs="Noto Sans CJK TC"/>
        <w:color w:val="17323D"/>
        <w:sz w:val="16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Noto Sans CJK TC" w:hAnsi="Noto Sans CJK TC" w:eastAsia="Noto Sans CJK TC" w:cs="Noto Sans CJK TC"/>
        <w:color w:val="17323D"/>
        <w:sz w:val="16"/>
      </w:rPr>
      <w:t xml:space="preserve"> 頁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TC" w:hAnsi="Noto Sans CJK TC" w:eastAsia="Noto Sans CJK TC" w:cs="Noto Sans CJK TC"/>
        <w:color w:val="287F7C"/>
        <w:sz w:val="16"/>
      </w:rPr>
      <w:t>律師事務所模擬器  ｜  美術製作清單 v0.1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60" w:before="0" w:line="269" w:lineRule="auto"/>
    </w:pPr>
    <w:rPr>
      <w:rFonts w:ascii="Noto Sans CJK TC" w:cs="Noto Sans CJK TC" w:eastAsia="Noto Sans CJK TC" w:hAnsi="Noto Sans CJK TC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200"/>
      <w:outlineLvl w:val="0"/>
    </w:pPr>
    <w:rPr>
      <w:rFonts w:ascii="Noto Sans CJK TC" w:asciiTheme="majorHAnsi" w:cstheme="majorBidi" w:eastAsiaTheme="majorEastAsia" w:hAnsi="Noto Sans CJK TC" w:hAnsiTheme="majorHAnsi"/>
      <w:b/>
      <w:bCs/>
      <w:color w:val="17323D"/>
      <w:sz w:val="40"/>
      <w:szCs w:val="28"/>
      <w:rFonts w:ascii="Noto Sans CJK TC" w:cs="Noto Sans CJK TC" w:eastAsia="Noto Sans CJK TC" w:hAnsi="Noto Sans CJK TC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00"/>
      <w:outlineLvl w:val="1"/>
    </w:pPr>
    <w:rPr>
      <w:rFonts w:ascii="Noto Sans CJK TC" w:asciiTheme="majorHAnsi" w:cstheme="majorBidi" w:eastAsiaTheme="majorEastAsia" w:hAnsi="Noto Sans CJK TC" w:hAnsiTheme="majorHAnsi"/>
      <w:b/>
      <w:bCs/>
      <w:color w:val="287F7C"/>
      <w:sz w:val="28"/>
      <w:szCs w:val="26"/>
      <w:rFonts w:ascii="Noto Sans CJK TC" w:cs="Noto Sans CJK TC" w:eastAsia="Noto Sans CJK TC" w:hAnsi="Noto Sans CJK TC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00"/>
      <w:outlineLvl w:val="2"/>
    </w:pPr>
    <w:rPr>
      <w:rFonts w:ascii="Noto Sans CJK TC" w:asciiTheme="majorHAnsi" w:cstheme="majorBidi" w:eastAsiaTheme="majorEastAsia" w:hAnsi="Noto Sans CJK TC" w:hAnsiTheme="majorHAnsi"/>
      <w:b/>
      <w:bCs/>
      <w:color w:val="17323D"/>
      <w:sz w:val="22"/>
      <w:rFonts w:ascii="Noto Sans CJK TC" w:cs="Noto Sans CJK TC" w:eastAsia="Noto Sans CJK TC" w:hAnsi="Noto Sans CJK TC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60" w:before="0" w:line="269" w:lineRule="auto"/>
    </w:pPr>
    <w:rPr>
      <w:rFonts w:ascii="Noto Sans CJK TC" w:cs="Noto Sans CJK TC" w:eastAsia="Noto Sans CJK TC" w:hAnsi="Noto Sans CJK TC"/>
      <w:sz w:val="19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律師事務所模擬器｜美術製作資源清單</dc:title>
  <dc:creator/>
  <cp:keywords>律師事務所模擬器,2D,像素風,美術清單,繁體中文</cp:keywords>
  <dcterms:created xsi:type="dcterms:W3CDTF">2026-10-21T04:19:59Z</dcterms:created>
  <dcterms:modified xsi:type="dcterms:W3CDTF">2026-10-21T04:19:59Z</dcterms:modified>
  <dc:subject>113個美術派工項目，含場景、人物、UI及圖示；不含音樂與音訊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