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4EFE4"/>
  <w:body>
    <w:p>
      <w:pPr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GAME DESIGN × ART DIRECTION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律師事務所</w:t>
        <w:br/>
        <w:t>模擬器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把案子接下來，也要把自己保下來。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65"/>
        <w:gridCol w:w="8765"/>
      </w:tblGrid>
      <w:tr>
        <w:tc>
          <w:tcPr>
            <w:tcW w:type="dxa" w:w="6696"/>
            <w:vAlign w:val="center"/>
          </w:tcPr>
          <w:p>
            <w:pPr>
              <w:spacing w:after="260" w:line="40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6"/>
              </w:rPr>
              <w:t>▪ 2D 像素經營遊戲</w:t>
            </w:r>
          </w:p>
          <w:p>
            <w:pPr>
              <w:spacing w:after="260" w:line="40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6"/>
              </w:rPr>
              <w:t>▪ 遊戲概念・場景・人物・美術製作規格</w:t>
            </w:r>
          </w:p>
        </w:tc>
        <w:tc>
          <w:tcPr>
            <w:tcW w:type="dxa" w:w="10728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73997" cy="3474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taipei_offic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399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視覺提案 v0.1｜依既有 GDD／PRD 製作｜概念參考，非遊戲實機畫面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01 / THE EXPERIENCE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賺得到，也撐得住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每一筆收入，都帶著未來半年的工作量。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43"/>
        <w:gridCol w:w="5843"/>
        <w:gridCol w:w="5843"/>
      </w:tblGrid>
      <w:tr>
        <w:tc>
          <w:tcPr>
            <w:tcW w:type="dxa" w:w="5808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01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接案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先收委任費，案件背半年。</w:t>
              <w:br/>
              <w:t>收入增加，明早的負荷也增加。</w:t>
            </w:r>
          </w:p>
        </w:tc>
        <w:tc>
          <w:tcPr>
            <w:tcW w:type="dxa" w:w="5808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02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取捨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培養能力、恢復精力。</w:t>
              <w:br/>
              <w:t>用有限的時段決定今天要做什麼。</w:t>
            </w:r>
          </w:p>
        </w:tc>
        <w:tc>
          <w:tcPr>
            <w:tcW w:type="dxa" w:w="5808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03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經營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聘人分案、維持現金流。</w:t>
              <w:br/>
              <w:t>擴張前先確認客源與固定成本。</w:t>
            </w:r>
          </w:p>
        </w:tc>
      </w:tr>
    </w:tbl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核心為疲勞與金錢管理；訴訟採數值結算，不製作法庭攻防小遊戲。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02 / CAREER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從受僱，到三地經營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身分改變收入，也改變風險。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82"/>
        <w:gridCol w:w="4382"/>
        <w:gridCol w:w="4382"/>
        <w:gridCol w:w="4382"/>
      </w:tblGrid>
      <w:tr>
        <w:tc>
          <w:tcPr>
            <w:tcW w:type="dxa" w:w="4356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START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受僱律師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固定月薪</w:t>
              <w:br/>
              <w:t>五種事務所規模</w:t>
            </w:r>
          </w:p>
        </w:tc>
        <w:tc>
          <w:tcPr>
            <w:tcW w:type="dxa" w:w="4356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3 YEARS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合署律師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同所滿三年可選擇</w:t>
              <w:br/>
              <w:t>取得委任費 70%</w:t>
            </w:r>
          </w:p>
        </w:tc>
        <w:tc>
          <w:tcPr>
            <w:tcW w:type="dxa" w:w="4356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500 萬元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臺北開業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受僱或合署皆可開業</w:t>
              <w:br/>
              <w:t>取得委任費 100%</w:t>
            </w:r>
          </w:p>
        </w:tc>
        <w:tc>
          <w:tcPr>
            <w:tcW w:type="dxa" w:w="4356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各 600 萬元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臺中・高雄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分所各成立一次</w:t>
              <w:br/>
              <w:t>最多三所、45 名受僱律師</w:t>
            </w:r>
          </w:p>
        </w:tc>
      </w:tr>
    </w:tbl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設立金額暫採一次性支出；支付後金錢歸零仍會破產，須預留營運資金。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03 / DAILY RHYTHM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一天四個決定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時間本身就是資源。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65"/>
        <w:gridCol w:w="8765"/>
      </w:tblGrid>
      <w:tr>
        <w:tc>
          <w:tcPr>
            <w:tcW w:type="dxa" w:w="8712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09:00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早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寫狀、摸魚、跳槽</w:t>
              <w:br/>
              <w:t>開業後可面試新員工</w:t>
            </w:r>
          </w:p>
        </w:tc>
        <w:tc>
          <w:tcPr>
            <w:tcW w:type="dxa" w:w="8712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13:00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下午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寫狀、查資料、跳槽</w:t>
              <w:br/>
              <w:t>受僱可拍老闆馬屁</w:t>
            </w:r>
          </w:p>
        </w:tc>
      </w:tr>
      <w:tr>
        <w:tc>
          <w:tcPr>
            <w:tcW w:type="dxa" w:w="8712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16:00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傍晚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寫狀、查資料、摸魚</w:t>
              <w:br/>
              <w:t>管理下一步的工作量</w:t>
            </w:r>
          </w:p>
        </w:tc>
        <w:tc>
          <w:tcPr>
            <w:tcW w:type="dxa" w:w="8712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19:00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下班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健身、脫口秀、法律影片</w:t>
              <w:br/>
              <w:t>或只想睡覺</w:t>
            </w:r>
          </w:p>
        </w:tc>
      </w:tr>
    </w:tbl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早餐 100 元：當日疲勞上限與當前值 +10，每日一次、不推進時段。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04 / TWO RESOURCES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案子越多，一天越短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先看明早的負荷，再決定要不要接。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65"/>
        <w:gridCol w:w="8765"/>
      </w:tblGrid>
      <w:tr>
        <w:tc>
          <w:tcPr>
            <w:tcW w:type="dxa" w:w="8712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ENERGY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疲勞值 100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每天回滿，再扣持案負荷。</w:t>
              <w:br/>
              <w:t>每案每天 1 點基礎消耗。</w:t>
              <w:br/>
              <w:t>體力屬性每滿 10 點，減耗 5%。</w:t>
            </w:r>
          </w:p>
        </w:tc>
        <w:tc>
          <w:tcPr>
            <w:tcW w:type="dxa" w:w="8712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CASH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金錢 50,000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收入不等於能自由花掉的利潤。</w:t>
              <w:br/>
              <w:t>月薪、委任費與固定支出都有日期。</w:t>
              <w:br/>
              <w:t>金錢或疲勞歸零，觸發對應結局。</w:t>
            </w:r>
          </w:p>
        </w:tc>
      </w:tr>
    </w:tbl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疲勞值代表剩餘精力，越高越好；體力屬性是另一個 0–100 的能力值。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05 / CASES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半年案件，當下的錢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委任費先入帳，服務義務要完成。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 w:val="0"/>
          <w:color w:val="17323D"/>
          <w:sz w:val="30"/>
        </w:rPr>
        <w:t>▪ 180 日後結案；寫狀可提高勝率。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 w:val="0"/>
          <w:color w:val="17323D"/>
          <w:sz w:val="30"/>
        </w:rPr>
        <w:t>▪ 特殊案需四項能力總和至少 300。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43"/>
        <w:gridCol w:w="5843"/>
        <w:gridCol w:w="5843"/>
      </w:tblGrid>
      <w:tr>
        <w:tc>
          <w:tcPr>
            <w:tcW w:type="dxa" w:w="5843"/>
            <w:shd w:fill="17323D"/>
            <w:vAlign w:val="center"/>
          </w:tcPr>
          <w:p>
            <w:pPr>
              <w:spacing w:after="120" w:before="120"/>
            </w:pPr>
            <w:r>
              <w:rPr>
                <w:rFonts w:ascii="Noto Sans CJK TC" w:hAnsi="Noto Sans CJK TC" w:eastAsia="Noto Sans CJK TC"/>
                <w:b/>
                <w:color w:val="FFFFFF"/>
                <w:sz w:val="22"/>
              </w:rPr>
              <w:t>案型</w:t>
            </w:r>
          </w:p>
        </w:tc>
        <w:tc>
          <w:tcPr>
            <w:tcW w:type="dxa" w:w="5843"/>
            <w:shd w:fill="17323D"/>
            <w:vAlign w:val="center"/>
          </w:tcPr>
          <w:p>
            <w:pPr>
              <w:spacing w:after="120" w:before="120"/>
            </w:pPr>
            <w:r>
              <w:rPr>
                <w:rFonts w:ascii="Noto Sans CJK TC" w:hAnsi="Noto Sans CJK TC" w:eastAsia="Noto Sans CJK TC"/>
                <w:b/>
                <w:color w:val="FFFFFF"/>
                <w:sz w:val="22"/>
              </w:rPr>
              <w:t>比例</w:t>
            </w:r>
          </w:p>
        </w:tc>
        <w:tc>
          <w:tcPr>
            <w:tcW w:type="dxa" w:w="5843"/>
            <w:shd w:fill="17323D"/>
            <w:vAlign w:val="center"/>
          </w:tcPr>
          <w:p>
            <w:pPr>
              <w:spacing w:after="120" w:before="120"/>
            </w:pPr>
            <w:r>
              <w:rPr>
                <w:rFonts w:ascii="Noto Sans CJK TC" w:hAnsi="Noto Sans CJK TC" w:eastAsia="Noto Sans CJK TC"/>
                <w:b/>
                <w:color w:val="FFFFFF"/>
                <w:sz w:val="22"/>
              </w:rPr>
              <w:t>委任費（建議初值）</w:t>
            </w:r>
          </w:p>
        </w:tc>
      </w:tr>
      <w:tr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詐欺</w:t>
            </w:r>
          </w:p>
        </w:tc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50%</w:t>
            </w:r>
          </w:p>
        </w:tc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40,000 元</w:t>
            </w:r>
          </w:p>
        </w:tc>
      </w:tr>
      <w:tr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離婚</w:t>
            </w:r>
          </w:p>
        </w:tc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20%</w:t>
            </w:r>
          </w:p>
        </w:tc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60,000 元</w:t>
            </w:r>
          </w:p>
        </w:tc>
      </w:tr>
      <w:tr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車禍</w:t>
            </w:r>
          </w:p>
        </w:tc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10%</w:t>
            </w:r>
          </w:p>
        </w:tc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30,000 元</w:t>
            </w:r>
          </w:p>
        </w:tc>
      </w:tr>
      <w:tr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一般民事</w:t>
            </w:r>
          </w:p>
        </w:tc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10%</w:t>
            </w:r>
          </w:p>
        </w:tc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40,000 元</w:t>
            </w:r>
          </w:p>
        </w:tc>
      </w:tr>
      <w:tr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特殊案件</w:t>
            </w:r>
          </w:p>
        </w:tc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10%</w:t>
            </w:r>
          </w:p>
        </w:tc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120,000 元</w:t>
            </w:r>
          </w:p>
        </w:tc>
      </w:tr>
    </w:tbl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一般民事 10% 為補足原比例的建議；加權平均委任費 51,000 元，非保證每案收入。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06 / ART DIRECTION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臺灣職場的像素日常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親切、忙碌，帶一點自嘲。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65"/>
        <w:gridCol w:w="8765"/>
      </w:tblGrid>
      <w:tr>
        <w:tc>
          <w:tcPr>
            <w:tcW w:type="dxa" w:w="6696"/>
            <w:vAlign w:val="center"/>
          </w:tcPr>
          <w:p>
            <w:pPr>
              <w:spacing w:after="260" w:line="40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6"/>
              </w:rPr>
              <w:t>▪ 固定斜俯視、直角格網的 2D 場景。</w:t>
            </w:r>
          </w:p>
          <w:p>
            <w:pPr>
              <w:spacing w:after="260" w:line="40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6"/>
              </w:rPr>
              <w:t>▪ 紙張、舊木、金屬與玻璃構成辦公日常。</w:t>
            </w:r>
          </w:p>
          <w:p>
            <w:pPr>
              <w:spacing w:after="260" w:line="40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6"/>
              </w:rPr>
              <w:t>▪ 輪廓清楚，細節集中於桌面與文件。</w:t>
            </w:r>
          </w:p>
          <w:p>
            <w:pPr>
              <w:spacing w:after="260" w:line="40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6"/>
              </w:rPr>
              <w:t>▪ 幽默來自工作選擇，不靠法庭奇觀。</w:t>
            </w:r>
          </w:p>
        </w:tc>
        <w:tc>
          <w:tcPr>
            <w:tcW w:type="dxa" w:w="10728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73997" cy="34747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taipei_offic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399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本提案圖像均為概念參考；正式素材須依清單重製、切圖與驗收。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07 / COLOUR &amp; MATERIAL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暖紙色，搭配冷調城市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舒適的辦公室，也藏得住疲倦。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 w:val="0"/>
          <w:color w:val="17323D"/>
          <w:sz w:val="30"/>
        </w:rPr>
        <w:t>▪ 光源方向與物件比例固定。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 w:val="0"/>
          <w:color w:val="17323D"/>
          <w:sz w:val="30"/>
        </w:rPr>
        <w:t>▪ 09:00／13:00／16:00／19:00 以光線層區分，不重畫四套物件。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43"/>
        <w:gridCol w:w="5843"/>
        <w:gridCol w:w="5843"/>
      </w:tblGrid>
      <w:tr>
        <w:tc>
          <w:tcPr>
            <w:tcW w:type="dxa" w:w="5843"/>
            <w:shd w:fill="17323D"/>
            <w:vAlign w:val="center"/>
          </w:tcPr>
          <w:p>
            <w:pPr>
              <w:spacing w:after="120" w:before="120"/>
            </w:pPr>
            <w:r>
              <w:rPr>
                <w:rFonts w:ascii="Noto Sans CJK TC" w:hAnsi="Noto Sans CJK TC" w:eastAsia="Noto Sans CJK TC"/>
                <w:b/>
                <w:color w:val="FFFFFF"/>
                <w:sz w:val="21"/>
              </w:rPr>
              <w:t>色彩</w:t>
            </w:r>
          </w:p>
        </w:tc>
        <w:tc>
          <w:tcPr>
            <w:tcW w:type="dxa" w:w="5843"/>
            <w:shd w:fill="17323D"/>
            <w:vAlign w:val="center"/>
          </w:tcPr>
          <w:p>
            <w:pPr>
              <w:spacing w:after="120" w:before="120"/>
            </w:pPr>
            <w:r>
              <w:rPr>
                <w:rFonts w:ascii="Noto Sans CJK TC" w:hAnsi="Noto Sans CJK TC" w:eastAsia="Noto Sans CJK TC"/>
                <w:b/>
                <w:color w:val="FFFFFF"/>
                <w:sz w:val="21"/>
              </w:rPr>
              <w:t>色碼</w:t>
            </w:r>
          </w:p>
        </w:tc>
        <w:tc>
          <w:tcPr>
            <w:tcW w:type="dxa" w:w="5843"/>
            <w:shd w:fill="17323D"/>
            <w:vAlign w:val="center"/>
          </w:tcPr>
          <w:p>
            <w:pPr>
              <w:spacing w:after="120" w:before="120"/>
            </w:pPr>
            <w:r>
              <w:rPr>
                <w:rFonts w:ascii="Noto Sans CJK TC" w:hAnsi="Noto Sans CJK TC" w:eastAsia="Noto Sans CJK TC"/>
                <w:b/>
                <w:color w:val="FFFFFF"/>
                <w:sz w:val="21"/>
              </w:rPr>
              <w:t>用途</w:t>
            </w:r>
          </w:p>
        </w:tc>
      </w:tr>
      <w:tr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1"/>
              </w:rPr>
              <w:t>暖紙色</w:t>
            </w:r>
          </w:p>
        </w:tc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1"/>
              </w:rPr>
              <w:t>#F4EFE4</w:t>
            </w:r>
          </w:p>
        </w:tc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1"/>
              </w:rPr>
              <w:t>文件、頁面與留白</w:t>
            </w:r>
          </w:p>
        </w:tc>
      </w:tr>
      <w:tr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1"/>
              </w:rPr>
              <w:t>深藍</w:t>
            </w:r>
          </w:p>
        </w:tc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1"/>
              </w:rPr>
              <w:t>#17323D</w:t>
            </w:r>
          </w:p>
        </w:tc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1"/>
              </w:rPr>
              <w:t>輪廓、文字與夜色</w:t>
            </w:r>
          </w:p>
        </w:tc>
      </w:tr>
      <w:tr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1"/>
              </w:rPr>
              <w:t>玉綠</w:t>
            </w:r>
          </w:p>
        </w:tc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1"/>
              </w:rPr>
              <w:t>#287F7C</w:t>
            </w:r>
          </w:p>
        </w:tc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1"/>
              </w:rPr>
              <w:t>日常、選取與成長</w:t>
            </w:r>
          </w:p>
        </w:tc>
      </w:tr>
      <w:tr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1"/>
              </w:rPr>
              <w:t>琥珀</w:t>
            </w:r>
          </w:p>
        </w:tc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1"/>
              </w:rPr>
              <w:t>#D9A648</w:t>
            </w:r>
          </w:p>
        </w:tc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1"/>
              </w:rPr>
              <w:t>燈光與資金重點</w:t>
            </w:r>
          </w:p>
        </w:tc>
      </w:tr>
      <w:tr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1"/>
              </w:rPr>
              <w:t>木棕</w:t>
            </w:r>
          </w:p>
        </w:tc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1"/>
              </w:rPr>
              <w:t>#936549</w:t>
            </w:r>
          </w:p>
        </w:tc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1"/>
              </w:rPr>
              <w:t>家具與空間溫度</w:t>
            </w:r>
          </w:p>
        </w:tc>
      </w:tr>
      <w:tr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1"/>
              </w:rPr>
              <w:t>警示紅</w:t>
            </w:r>
          </w:p>
        </w:tc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1"/>
              </w:rPr>
              <w:t>#BF5A50</w:t>
            </w:r>
          </w:p>
        </w:tc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1"/>
              </w:rPr>
              <w:t>過勞與資金危機</w:t>
            </w:r>
          </w:p>
        </w:tc>
      </w:tr>
    </w:tbl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色碼為基準色盤；正式像素素材需控制色階，避免模糊漸層與抗鋸齒邊。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08 / SCENE PROGRESSION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從擁擠小所，到自己的位置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空間直接呈現職涯成長。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43"/>
        <w:gridCol w:w="5843"/>
        <w:gridCol w:w="5843"/>
      </w:tblGrid>
      <w:tr>
        <w:tc>
          <w:tcPr>
            <w:tcW w:type="dxa" w:w="5808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EMPLOYEE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受僱小所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共用設備、緊湊桌位。</w:t>
              <w:br/>
              <w:t>卷宗與老舊家具營造起點。</w:t>
            </w:r>
          </w:p>
        </w:tc>
        <w:tc>
          <w:tcPr>
            <w:tcW w:type="dxa" w:w="5808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ASSOCIATE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合署工作區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自己的招牌與接待角落。</w:t>
              <w:br/>
              <w:t>同一場景換區域，不必重建地圖。</w:t>
            </w:r>
          </w:p>
        </w:tc>
        <w:tc>
          <w:tcPr>
            <w:tcW w:type="dxa" w:w="5808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OWNER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自有事務所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員工座位、諮詢區、卷宗設備。</w:t>
              <w:br/>
              <w:t>用模組擴充，容納 15 名受僱律師。</w:t>
            </w:r>
          </w:p>
        </w:tc>
      </w:tr>
    </w:tbl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五種任職規模可共用場景基底與佈置變體，不代表一定要製作五套全新素材。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09 / TAIPEI HEADQUARTERS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臺北本所：可以經營的空間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主角工作區・諮詢區・員工座位・卷宗設備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6498944" cy="36575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aipei_offi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8944" cy="3657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場景氣氛與比例參考｜概念圖不是十五席最終平面圖；正式佈局需依格網與容量製作。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10 / THREE CITIES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同一間事務所，三種城市氣味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臺北灰藍天際線｜臺中暖日與綠意｜高雄港灣與海風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6498944" cy="36575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ity_branch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98944" cy="3657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共用桌椅、文件櫃與設備模組，以窗景、色調與局部物件區分城市。概念參考。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11 / CAST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人物先看得出職務，再看細節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年輕主角・資深律師・老闆・新進律師・客戶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6498944" cy="36575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haracter_she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98944" cy="3657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男女主角只有外觀差異。大圖為服裝人設、小圖為比例參考；實際依 32×48 三頭身重製，非可直接切圖素材。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12 / CHARACTER PRODUCTION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一個角色，統一所有動作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清楚的輪廓，搭配可重用的動畫規格。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65"/>
        <w:gridCol w:w="8765"/>
      </w:tblGrid>
      <w:tr>
        <w:tc>
          <w:tcPr>
            <w:tcW w:type="dxa" w:w="8765"/>
            <w:shd w:fill="17323D"/>
            <w:vAlign w:val="center"/>
          </w:tcPr>
          <w:p>
            <w:pPr>
              <w:spacing w:after="120" w:before="120"/>
            </w:pPr>
            <w:r>
              <w:rPr>
                <w:rFonts w:ascii="Noto Sans CJK TC" w:hAnsi="Noto Sans CJK TC" w:eastAsia="Noto Sans CJK TC"/>
                <w:b/>
                <w:color w:val="FFFFFF"/>
                <w:sz w:val="22"/>
              </w:rPr>
              <w:t>項目</w:t>
            </w:r>
          </w:p>
        </w:tc>
        <w:tc>
          <w:tcPr>
            <w:tcW w:type="dxa" w:w="8765"/>
            <w:shd w:fill="17323D"/>
            <w:vAlign w:val="center"/>
          </w:tcPr>
          <w:p>
            <w:pPr>
              <w:spacing w:after="120" w:before="120"/>
            </w:pPr>
            <w:r>
              <w:rPr>
                <w:rFonts w:ascii="Noto Sans CJK TC" w:hAnsi="Noto Sans CJK TC" w:eastAsia="Noto Sans CJK TC"/>
                <w:b/>
                <w:color w:val="FFFFFF"/>
                <w:sz w:val="22"/>
              </w:rPr>
              <w:t>製作規格</w:t>
            </w:r>
          </w:p>
        </w:tc>
      </w:tr>
      <w:tr>
        <w:tc>
          <w:tcPr>
            <w:tcW w:type="dxa" w:w="8765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邏輯畫布</w:t>
            </w:r>
          </w:p>
        </w:tc>
        <w:tc>
          <w:tcPr>
            <w:tcW w:type="dxa" w:w="8765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角色 32×48 px；腳點固定 (16,44)</w:t>
            </w:r>
          </w:p>
        </w:tc>
      </w:tr>
      <w:tr>
        <w:tc>
          <w:tcPr>
            <w:tcW w:type="dxa" w:w="8765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方向</w:t>
            </w:r>
          </w:p>
        </w:tc>
        <w:tc>
          <w:tcPr>
            <w:tcW w:type="dxa" w:w="8765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四方向；髮型與配件避免左右混亂</w:t>
            </w:r>
          </w:p>
        </w:tc>
      </w:tr>
      <w:tr>
        <w:tc>
          <w:tcPr>
            <w:tcW w:type="dxa" w:w="8765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基本狀態</w:t>
            </w:r>
          </w:p>
        </w:tc>
        <w:tc>
          <w:tcPr>
            <w:tcW w:type="dxa" w:w="8765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待機、走路、寫狀、交談、疲倦</w:t>
            </w:r>
          </w:p>
        </w:tc>
      </w:tr>
      <w:tr>
        <w:tc>
          <w:tcPr>
            <w:tcW w:type="dxa" w:w="8765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輸出</w:t>
            </w:r>
          </w:p>
        </w:tc>
        <w:tc>
          <w:tcPr>
            <w:tcW w:type="dxa" w:w="8765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透明 PNG／sprite sheet，影格表另附</w:t>
            </w:r>
          </w:p>
        </w:tc>
      </w:tr>
      <w:tr>
        <w:tc>
          <w:tcPr>
            <w:tcW w:type="dxa" w:w="8765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共用原則</w:t>
            </w:r>
          </w:p>
        </w:tc>
        <w:tc>
          <w:tcPr>
            <w:tcW w:type="dxa" w:w="8765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同體型共用動作骨架與比例</w:t>
            </w:r>
          </w:p>
        </w:tc>
      </w:tr>
      <w:tr>
        <w:tc>
          <w:tcPr>
            <w:tcW w:type="dxa" w:w="8765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驗收</w:t>
            </w:r>
          </w:p>
        </w:tc>
        <w:tc>
          <w:tcPr>
            <w:tcW w:type="dxa" w:w="8765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不跳錨點、不切頭髮、無半透明毛邊</w:t>
            </w:r>
          </w:p>
        </w:tc>
      </w:tr>
    </w:tbl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實際影格、角色與變體數量，以附件美術資源清單為準；概念稿不視為完成動畫。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13 / CHARACTER GROWTH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四項能力，四條經營路線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同樣的律師，可以有不同活法。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65"/>
        <w:gridCol w:w="8765"/>
      </w:tblGrid>
      <w:tr>
        <w:tc>
          <w:tcPr>
            <w:tcW w:type="dxa" w:w="8712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LITIGATION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訴訟能力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主要影響勝率。</w:t>
              <w:br/>
              <w:t>寫狀與研究帶來準備。</w:t>
            </w:r>
          </w:p>
        </w:tc>
        <w:tc>
          <w:tcPr>
            <w:tcW w:type="dxa" w:w="8712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ELOQUENCE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口才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提高客戶委任率。</w:t>
              <w:br/>
              <w:t>少量影響訴訟結果。</w:t>
            </w:r>
          </w:p>
        </w:tc>
      </w:tr>
      <w:tr>
        <w:tc>
          <w:tcPr>
            <w:tcW w:type="dxa" w:w="8712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ENDURANCE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體力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降低每日消耗。</w:t>
              <w:br/>
              <w:t>和疲勞資源分開儲存。</w:t>
            </w:r>
          </w:p>
        </w:tc>
        <w:tc>
          <w:tcPr>
            <w:tcW w:type="dxa" w:w="8712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POPULARITY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人氣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增加曝光與諮詢。</w:t>
              <w:br/>
              <w:t>開業後更容易遇到人才。</w:t>
            </w:r>
          </w:p>
        </w:tc>
      </w:tr>
    </w:tbl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主角四項基礎能力各 25、最終上限 100；開局自由選擇一個金色與一個銀色特性。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14 / TRAITS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十三種特性，形成開局風格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徽章要辨識等級，圖形要看得出效果。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43"/>
        <w:gridCol w:w="5843"/>
        <w:gridCol w:w="5843"/>
      </w:tblGrid>
      <w:tr>
        <w:tc>
          <w:tcPr>
            <w:tcW w:type="dxa" w:w="5808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GOLD / 5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金色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頂級牛馬</w:t>
              <w:br/>
              <w:t>訴訟之神</w:t>
              <w:br/>
              <w:t>顏值頂天</w:t>
              <w:br/>
              <w:t>被律師耽誤的商人</w:t>
              <w:br/>
              <w:t>多面手</w:t>
            </w:r>
          </w:p>
        </w:tc>
        <w:tc>
          <w:tcPr>
            <w:tcW w:type="dxa" w:w="5808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SILVER / 4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銀色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鐵人</w:t>
              <w:br/>
              <w:t>學霸</w:t>
              <w:br/>
              <w:t>嘴遁</w:t>
              <w:br/>
              <w:t>人氣王</w:t>
            </w:r>
          </w:p>
        </w:tc>
        <w:tc>
          <w:tcPr>
            <w:tcW w:type="dxa" w:w="5808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BRONZE / 4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青銅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忠誠</w:t>
              <w:br/>
              <w:t>長相端正</w:t>
              <w:br/>
              <w:t>健康</w:t>
              <w:br/>
              <w:t>光頭</w:t>
            </w:r>
          </w:p>
        </w:tc>
      </w:tr>
    </w:tbl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一般角色 0–2 個特性，同色最多一個；完整效果沿用 PRD，不用顏色取代圖形辨識。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15 / INTERFACE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先看風險，再做選擇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日期、金錢、疲勞與明早負荷必須一眼可見。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711735" cy="2651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aipei_offi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11735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 w:val="0"/>
          <w:color w:val="17323D"/>
          <w:sz w:val="24"/>
        </w:rPr>
        <w:t>▪ 行動前預覽費用與消耗。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 w:val="0"/>
          <w:color w:val="17323D"/>
          <w:sz w:val="24"/>
        </w:rPr>
        <w:t>▪ 案件、員工、財務與排程快速切換。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 w:val="0"/>
          <w:color w:val="17323D"/>
          <w:sz w:val="24"/>
        </w:rPr>
        <w:t>▪ 20 個存檔位共用同一套槽位元件。</w:t>
      </w:r>
    </w:p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介面為排版概念示意，非遊戲截圖；繁體中文由正式字型排版，不依賴生成圖內文字。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16 / PROPS &amp; EVENT MOODS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用小物件，讓工作有故事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同一套素材，支撐日常、事件與結局。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65"/>
        <w:gridCol w:w="8765"/>
      </w:tblGrid>
      <w:tr>
        <w:tc>
          <w:tcPr>
            <w:tcW w:type="dxa" w:w="6696"/>
            <w:vAlign w:val="center"/>
          </w:tcPr>
          <w:p>
            <w:pPr>
              <w:spacing w:after="260" w:line="40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6"/>
              </w:rPr>
              <w:t>▪ 辦公：桌椅、電腦、文件櫃、影印機。</w:t>
            </w:r>
          </w:p>
          <w:p>
            <w:pPr>
              <w:spacing w:after="260" w:line="40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6"/>
              </w:rPr>
              <w:t>▪ 日常：早餐、飲料、健身與回家休息。</w:t>
            </w:r>
          </w:p>
          <w:p>
            <w:pPr>
              <w:spacing w:after="260" w:line="40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6"/>
              </w:rPr>
              <w:t>▪ 事件：客戶諮詢、媒體邀訪、摸魚。</w:t>
            </w:r>
          </w:p>
          <w:p>
            <w:pPr>
              <w:spacing w:after="260" w:line="40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6"/>
              </w:rPr>
              <w:t>▪ 結局：健康紅燈退休、破產回家。</w:t>
            </w:r>
          </w:p>
        </w:tc>
        <w:tc>
          <w:tcPr>
            <w:tcW w:type="dxa" w:w="10728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73997" cy="34747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props_and_mood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399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物件與情緒小稿為造型參考；兩種結局的指定完整文案保留於 PRD。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17 / PEOPLE &amp; WORKLOAD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分出去，不是把責任消掉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好的分案，比盲目聘人有效。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65"/>
        <w:gridCol w:w="8765"/>
      </w:tblGrid>
      <w:tr>
        <w:tc>
          <w:tcPr>
            <w:tcW w:type="dxa" w:w="8712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CAPACITY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每所 15 名律師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不含主角，三所最多 45 名受僱。</w:t>
              <w:br/>
              <w:t>依能力、特性與安全案量分派。</w:t>
              <w:br/>
              <w:t>員工卡顯示薪資、負荷與據點。</w:t>
            </w:r>
          </w:p>
        </w:tc>
        <w:tc>
          <w:tcPr>
            <w:tcW w:type="dxa" w:w="8712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OVERWORK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過勞有倒數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連續疲勞 60 日會離職。</w:t>
              <w:br/>
              <w:t>減載後於日終解除並歸零計時。</w:t>
              <w:br/>
              <w:t>離職案件回待分派池，期限不變。</w:t>
            </w:r>
          </w:p>
        </w:tc>
      </w:tr>
    </w:tbl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NPC 安全量與忠誠的 90 日期限屬建議補完；主角疲勞歸零則直接進健康結局。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18 / ART INVENTORY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每個畫面，都有可追蹤的交付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113 個製作項目｜179 個分類基底；變體與影格另外計算。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43"/>
        <w:gridCol w:w="5843"/>
        <w:gridCol w:w="5843"/>
      </w:tblGrid>
      <w:tr>
        <w:tc>
          <w:tcPr>
            <w:tcW w:type="dxa" w:w="5843"/>
            <w:shd w:fill="17323D"/>
            <w:vAlign w:val="center"/>
          </w:tcPr>
          <w:p>
            <w:pPr>
              <w:spacing w:after="120" w:before="120"/>
            </w:pPr>
            <w:r>
              <w:rPr>
                <w:rFonts w:ascii="Noto Sans CJK TC" w:hAnsi="Noto Sans CJK TC" w:eastAsia="Noto Sans CJK TC"/>
                <w:b/>
                <w:color w:val="FFFFFF"/>
                <w:sz w:val="22"/>
              </w:rPr>
              <w:t>類別</w:t>
            </w:r>
          </w:p>
        </w:tc>
        <w:tc>
          <w:tcPr>
            <w:tcW w:type="dxa" w:w="5843"/>
            <w:shd w:fill="17323D"/>
            <w:vAlign w:val="center"/>
          </w:tcPr>
          <w:p>
            <w:pPr>
              <w:spacing w:after="120" w:before="120"/>
            </w:pPr>
            <w:r>
              <w:rPr>
                <w:rFonts w:ascii="Noto Sans CJK TC" w:hAnsi="Noto Sans CJK TC" w:eastAsia="Noto Sans CJK TC"/>
                <w:b/>
                <w:color w:val="FFFFFF"/>
                <w:sz w:val="22"/>
              </w:rPr>
              <w:t>交付項目</w:t>
            </w:r>
          </w:p>
        </w:tc>
        <w:tc>
          <w:tcPr>
            <w:tcW w:type="dxa" w:w="5843"/>
            <w:shd w:fill="17323D"/>
            <w:vAlign w:val="center"/>
          </w:tcPr>
          <w:p>
            <w:pPr>
              <w:spacing w:after="120" w:before="120"/>
            </w:pPr>
            <w:r>
              <w:rPr>
                <w:rFonts w:ascii="Noto Sans CJK TC" w:hAnsi="Noto Sans CJK TC" w:eastAsia="Noto Sans CJK TC"/>
                <w:b/>
                <w:color w:val="FFFFFF"/>
                <w:sz w:val="22"/>
              </w:rPr>
              <w:t>驗收重點</w:t>
            </w:r>
          </w:p>
        </w:tc>
      </w:tr>
      <w:tr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場景</w:t>
            </w:r>
          </w:p>
        </w:tc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任職所、本所、三城市、夜間、結局</w:t>
            </w:r>
          </w:p>
        </w:tc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視角、格網、動線、光線</w:t>
            </w:r>
          </w:p>
        </w:tc>
      </w:tr>
      <w:tr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人物</w:t>
            </w:r>
          </w:p>
        </w:tc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主角、律師、老闆、客戶、事件角色</w:t>
            </w:r>
          </w:p>
        </w:tc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比例、方向、錨點、角色辨識</w:t>
            </w:r>
          </w:p>
        </w:tc>
      </w:tr>
      <w:tr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動畫</w:t>
            </w:r>
          </w:p>
        </w:tc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待機、走路、寫狀、交談、疲倦</w:t>
            </w:r>
          </w:p>
        </w:tc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影格、循環、腳底一致</w:t>
            </w:r>
          </w:p>
        </w:tc>
      </w:tr>
      <w:tr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物件</w:t>
            </w:r>
          </w:p>
        </w:tc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地圖模組、家具、設備、文件</w:t>
            </w:r>
          </w:p>
        </w:tc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可拼接、遮擋、尺寸統一</w:t>
            </w:r>
          </w:p>
        </w:tc>
      </w:tr>
      <w:tr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介面</w:t>
            </w:r>
          </w:p>
        </w:tc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HUD、選單、圖示、13 特性徽章</w:t>
            </w:r>
          </w:p>
        </w:tc>
        <w:tc>
          <w:tcPr>
            <w:tcW w:type="dxa" w:w="5843"/>
            <w:shd w:fill="FFFFFF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文字可讀、狀態、九宮格</w:t>
            </w:r>
          </w:p>
        </w:tc>
      </w:tr>
      <w:tr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事件</w:t>
            </w:r>
          </w:p>
        </w:tc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諮詢、媒體、日常、兩種結局</w:t>
            </w:r>
          </w:p>
        </w:tc>
        <w:tc>
          <w:tcPr>
            <w:tcW w:type="dxa" w:w="5843"/>
            <w:shd w:fill="E2ECE7"/>
          </w:tcPr>
          <w:p>
            <w:pPr>
              <w:spacing w:after="120" w:before="120" w:line="259" w:lineRule="auto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2"/>
              </w:rPr>
              <w:t>焦點清楚、文案安全區</w:t>
            </w:r>
          </w:p>
        </w:tc>
      </w:tr>
    </w:tbl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18 人物基底、704 動畫影格槽位、108 肖像表情輸出；詳列於附件。正式素材皆待製作，本次不含音訊。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19 / DELIVERY SPEC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概念圖，到可匯入素材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風格參考與正式遊戲素材分開交付。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65"/>
        <w:gridCol w:w="8765"/>
      </w:tblGrid>
      <w:tr>
        <w:tc>
          <w:tcPr>
            <w:tcW w:type="dxa" w:w="8712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CONCEPT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先確認長相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四張原創概念圖：</w:t>
              <w:br/>
              <w:t>臺北場景、人物、三城、物件。</w:t>
              <w:br/>
              <w:t>用於確認氣氛與造型，非完成遊戲素材。</w:t>
            </w:r>
          </w:p>
        </w:tc>
        <w:tc>
          <w:tcPr>
            <w:tcW w:type="dxa" w:w="8712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PRODUCTION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再依規格製作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場景 640×360；格網 32×32。</w:t>
              <w:br/>
              <w:t>角色 32×48，透明底 PNG。</w:t>
              <w:br/>
              <w:t>統一錨點、命名、逐格表與驗收。</w:t>
            </w:r>
          </w:p>
        </w:tc>
      </w:tr>
    </w:tbl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最近鄰取樣、整數倍縮放；場景參考圖的原始像素尺寸不等於正式遊戲邏輯尺寸。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20 / PRODUCTION ROADMAP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先做能玩的，再做完整的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美術投入跟著玩法驗證走。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82"/>
        <w:gridCol w:w="4382"/>
        <w:gridCol w:w="4382"/>
        <w:gridCol w:w="4382"/>
      </w:tblGrid>
      <w:tr>
        <w:tc>
          <w:tcPr>
            <w:tcW w:type="dxa" w:w="4356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A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核心切片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小所、主角、HUD</w:t>
              <w:br/>
              <w:t>疲勞、金錢、兩結局</w:t>
            </w:r>
          </w:p>
        </w:tc>
        <w:tc>
          <w:tcPr>
            <w:tcW w:type="dxa" w:w="4356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B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職涯與案件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特性、案件、合署</w:t>
              <w:br/>
              <w:t>五規模佈置與排程</w:t>
            </w:r>
          </w:p>
        </w:tc>
        <w:tc>
          <w:tcPr>
            <w:tcW w:type="dxa" w:w="4356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C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開業與三地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招募、分案、過勞</w:t>
              <w:br/>
              <w:t>三城場景與分所介面</w:t>
            </w:r>
          </w:p>
        </w:tc>
        <w:tc>
          <w:tcPr>
            <w:tcW w:type="dxa" w:w="4356"/>
            <w:shd w:fill="FFFFFF"/>
            <w:vAlign w:val="top"/>
          </w:tcPr>
          <w:p>
            <w:pPr>
              <w:spacing w:before="180" w:after="140"/>
            </w:pPr>
            <w:r>
              <w:rPr>
                <w:rFonts w:ascii="Noto Sans CJK TC" w:hAnsi="Noto Sans CJK TC" w:eastAsia="Noto Sans CJK TC"/>
                <w:b/>
                <w:color w:val="287F7C"/>
                <w:sz w:val="18"/>
              </w:rPr>
              <w:t>D</w:t>
              <w:br/>
            </w:r>
            <w:r>
              <w:rPr>
                <w:rFonts w:ascii="Noto Sans CJK TC" w:hAnsi="Noto Sans CJK TC" w:eastAsia="Noto Sans CJK TC"/>
                <w:b/>
                <w:color w:val="17323D"/>
                <w:sz w:val="30"/>
              </w:rPr>
              <w:t>整體交付</w:t>
            </w:r>
          </w:p>
          <w:p>
            <w:pPr>
              <w:spacing w:after="200" w:line="36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4"/>
              </w:rPr>
              <w:t>完整事件與介面</w:t>
              <w:br/>
              <w:t>20 存檔位、尺寸與效能驗收</w:t>
            </w:r>
          </w:p>
        </w:tc>
      </w:tr>
    </w:tbl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三個城市仍屬完整第一版；階段為製作順序，工期需依團隊產能估算。</w:t>
      </w:r>
    </w:p>
    <w:p>
      <w:pPr>
        <w:pageBreakBefore/>
        <w:spacing w:before="0" w:after="60" w:line="269" w:lineRule="auto"/>
      </w:pPr>
      <w:r>
        <w:rPr>
          <w:rFonts w:ascii="Noto Sans CJK TC" w:hAnsi="Noto Sans CJK TC" w:eastAsia="Noto Sans CJK TC"/>
          <w:b/>
          <w:color w:val="287F7C"/>
          <w:sz w:val="20"/>
        </w:rPr>
        <w:t>21 / READY TO HAND OFF</w:t>
      </w:r>
    </w:p>
    <w:p>
      <w:pPr>
        <w:spacing w:before="0" w:after="120" w:line="269" w:lineRule="auto"/>
      </w:pPr>
      <w:r>
        <w:rPr>
          <w:rFonts w:ascii="Noto Sans CJK TC" w:hAnsi="Noto Sans CJK TC" w:eastAsia="Noto Sans CJK TC"/>
          <w:b/>
          <w:color w:val="17323D"/>
          <w:sz w:val="54"/>
        </w:rPr>
        <w:t>用同一套規格，開始製作</w:t>
      </w:r>
    </w:p>
    <w:p>
      <w:pPr>
        <w:spacing w:before="0" w:after="180" w:line="269" w:lineRule="auto"/>
      </w:pPr>
      <w:r>
        <w:rPr>
          <w:rFonts w:ascii="Noto Sans CJK TC" w:hAnsi="Noto Sans CJK TC" w:eastAsia="Noto Sans CJK TC"/>
          <w:b w:val="0"/>
          <w:color w:val="687C80"/>
          <w:sz w:val="25"/>
        </w:rPr>
        <w:t>概念確認方向，清單支持逐項發包與驗收。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65"/>
        <w:gridCol w:w="8765"/>
      </w:tblGrid>
      <w:tr>
        <w:tc>
          <w:tcPr>
            <w:tcW w:type="dxa" w:w="6696"/>
            <w:vAlign w:val="center"/>
          </w:tcPr>
          <w:p>
            <w:pPr>
              <w:spacing w:after="260" w:line="40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6"/>
              </w:rPr>
              <w:t>▪ 視覺簡報 PDF：檢閱、分享與提案。</w:t>
            </w:r>
          </w:p>
          <w:p>
            <w:pPr>
              <w:spacing w:after="260" w:line="40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6"/>
              </w:rPr>
              <w:t>▪ 可編輯 Word：調整文字與追加註記。</w:t>
            </w:r>
          </w:p>
          <w:p>
            <w:pPr>
              <w:spacing w:after="260" w:line="40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6"/>
              </w:rPr>
              <w:t>▪ 四張 PNG 概念圖：場景、人物與物件。</w:t>
            </w:r>
          </w:p>
          <w:p>
            <w:pPr>
              <w:spacing w:after="260" w:line="400" w:lineRule="exact"/>
            </w:pPr>
            <w:r>
              <w:rPr>
                <w:rFonts w:ascii="Noto Sans CJK TC" w:hAnsi="Noto Sans CJK TC" w:eastAsia="Noto Sans CJK TC"/>
                <w:b w:val="0"/>
                <w:color w:val="17323D"/>
                <w:sz w:val="26"/>
              </w:rPr>
              <w:t>▪ 美術清單 Markdown／CSV：可排序、追蹤與派工。</w:t>
            </w:r>
          </w:p>
        </w:tc>
        <w:tc>
          <w:tcPr>
            <w:tcW w:type="dxa" w:w="10728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73997" cy="34747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character_she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399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00" w:after="0" w:line="269" w:lineRule="auto"/>
      </w:pPr>
      <w:r>
        <w:rPr>
          <w:rFonts w:ascii="Noto Sans CJK TC" w:hAnsi="Noto Sans CJK TC" w:eastAsia="Noto Sans CJK TC"/>
          <w:b w:val="0"/>
          <w:color w:val="687C80"/>
          <w:sz w:val="18"/>
        </w:rPr>
        <w:t>本次不含音樂與音訊製作。所有新增數值與待確認解讀，沿用 PRD 的建議標記。</w:t>
      </w:r>
    </w:p>
    <w:sectPr w:rsidR="00FC693F" w:rsidRPr="0006063C" w:rsidSect="00034616">
      <w:footerReference w:type="default" r:id="rId9"/>
      <w:pgSz w:w="19200" w:h="10800"/>
      <w:pgMar w:top="605" w:right="835" w:bottom="619" w:left="835" w:header="187" w:footer="18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TC" w:hAnsi="Noto Sans CJK TC" w:eastAsia="Noto Sans CJK TC"/>
        <w:color w:val="687C80"/>
        <w:sz w:val="16"/>
      </w:rPr>
      <w:t xml:space="preserve">LAW FIRM SIMULATOR  /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律師事務所模擬器｜2D 像素美術與遊戲提案</dc:title>
  <dc:subject>2D pixel art game design and art production presentation</dc:subject>
  <dc:creator>Law Firm Simulator / Design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