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FE4"/>
  <w:body>
    <w:p>
      <w:pPr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GAME DESIGN × ART DIRECTION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訴訟之神之路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把案子接下來，也要把自己保下來。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6696"/>
            <w:vAlign w:val="center"/>
          </w:tcPr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2D 像素經營遊戲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遊戲概念・場景・人物・美術製作規格</w:t>
            </w:r>
          </w:p>
        </w:tc>
        <w:tc>
          <w:tcPr>
            <w:tcW w:type="dxa" w:w="1072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79" cy="34747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taipei_offi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9" cy="3474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視覺提案 v0.2｜已修正人物組裝、正交投影、HUD 與行動表｜概念參考，非遊戲實機畫面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01 / THE EXPERIENCE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賺得到，也撐得住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每一筆收入，都帶著未來半年的工作量。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01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接案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先收委任費，案件背半年。</w:t>
              <w:br/>
              <w:t>收入增加，明早的負荷也增加。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02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取捨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培養能力、恢復精力。</w:t>
              <w:br/>
              <w:t>用有限的時段決定今天要做什麼。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03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經營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聘人分案、維持現金流。</w:t>
              <w:br/>
              <w:t>擴張前先確認客源與固定成本。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核心為疲勞與金錢管理；訴訟採數值結算，不製作法庭攻防小遊戲。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02 / CAREER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從受僱，到三地經營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身分改變收入，也改變風險。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82"/>
        <w:gridCol w:w="4382"/>
        <w:gridCol w:w="4382"/>
        <w:gridCol w:w="4382"/>
      </w:tblGrid>
      <w:tr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START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受僱律師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固定月薪</w:t>
              <w:br/>
              <w:t>五種事務所規模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3 YEARS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合署律師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同所滿三年可選擇</w:t>
              <w:br/>
              <w:t>取得委任費 70%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500 萬元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臺北開業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受僱或合署皆可開業</w:t>
              <w:br/>
              <w:t>取得委任費 100%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各 600 萬元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臺中・高雄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分所各成立一次</w:t>
              <w:br/>
              <w:t>最多三所、45 名受僱律師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設立金額暫採一次性支出；支付後金錢歸零仍會破產，須預留營運資金。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03 / DAILY RHYTHM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一天四個決定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完整行動表：工作時段可跳槽，開業後三個工作時段均可面試。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82"/>
        <w:gridCol w:w="4382"/>
        <w:gridCol w:w="4382"/>
        <w:gridCol w:w="4382"/>
      </w:tblGrid>
      <w:tr>
        <w:tc>
          <w:tcPr>
            <w:tcW w:type="dxa" w:w="1902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時段</w:t>
            </w:r>
          </w:p>
        </w:tc>
        <w:tc>
          <w:tcPr>
            <w:tcW w:type="dxa" w:w="6226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全身分</w:t>
            </w:r>
          </w:p>
        </w:tc>
        <w:tc>
          <w:tcPr>
            <w:tcW w:type="dxa" w:w="5534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受僱／合署</w:t>
            </w:r>
          </w:p>
        </w:tc>
        <w:tc>
          <w:tcPr>
            <w:tcW w:type="dxa" w:w="3805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開業</w:t>
            </w:r>
          </w:p>
        </w:tc>
      </w:tr>
      <w:tr>
        <w:tc>
          <w:tcPr>
            <w:tcW w:type="dxa" w:w="1902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09:00</w:t>
            </w:r>
          </w:p>
        </w:tc>
        <w:tc>
          <w:tcPr>
            <w:tcW w:type="dxa" w:w="6226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寫書狀、摸魚</w:t>
            </w:r>
          </w:p>
        </w:tc>
        <w:tc>
          <w:tcPr>
            <w:tcW w:type="dxa" w:w="5534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跳槽</w:t>
            </w:r>
          </w:p>
        </w:tc>
        <w:tc>
          <w:tcPr>
            <w:tcW w:type="dxa" w:w="380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面試新員工</w:t>
            </w:r>
          </w:p>
        </w:tc>
      </w:tr>
      <w:tr>
        <w:tc>
          <w:tcPr>
            <w:tcW w:type="dxa" w:w="1902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13:00</w:t>
            </w:r>
          </w:p>
        </w:tc>
        <w:tc>
          <w:tcPr>
            <w:tcW w:type="dxa" w:w="6226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寫書狀、查找資料</w:t>
            </w:r>
          </w:p>
        </w:tc>
        <w:tc>
          <w:tcPr>
            <w:tcW w:type="dxa" w:w="5534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拍老闆馬屁（僅受僱）、跳槽</w:t>
            </w:r>
          </w:p>
        </w:tc>
        <w:tc>
          <w:tcPr>
            <w:tcW w:type="dxa" w:w="380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面試新員工</w:t>
            </w:r>
          </w:p>
        </w:tc>
      </w:tr>
      <w:tr>
        <w:tc>
          <w:tcPr>
            <w:tcW w:type="dxa" w:w="1902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16:00</w:t>
            </w:r>
          </w:p>
        </w:tc>
        <w:tc>
          <w:tcPr>
            <w:tcW w:type="dxa" w:w="6226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寫書狀、摸魚、查找資料</w:t>
            </w:r>
          </w:p>
        </w:tc>
        <w:tc>
          <w:tcPr>
            <w:tcW w:type="dxa" w:w="5534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跳槽</w:t>
            </w:r>
          </w:p>
        </w:tc>
        <w:tc>
          <w:tcPr>
            <w:tcW w:type="dxa" w:w="380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面試新員工</w:t>
            </w:r>
          </w:p>
        </w:tc>
      </w:tr>
      <w:tr>
        <w:tc>
          <w:tcPr>
            <w:tcW w:type="dxa" w:w="1902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19:00</w:t>
            </w:r>
          </w:p>
        </w:tc>
        <w:tc>
          <w:tcPr>
            <w:tcW w:type="dxa" w:w="6226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健身、看脫口秀</w:t>
              <w:br/>
              <w:t>看法律講座影片、我只想睡覺</w:t>
            </w:r>
          </w:p>
        </w:tc>
        <w:tc>
          <w:tcPr>
            <w:tcW w:type="dxa" w:w="5534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—</w:t>
            </w:r>
          </w:p>
        </w:tc>
        <w:tc>
          <w:tcPr>
            <w:tcW w:type="dxa" w:w="380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—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早餐限 09:00，每日一次：100 元、當前與上限 +10，不推進時段；馬屁僅受僱可選。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04 / TWO RESOURCES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案子越多，一天越短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先看明早的負荷，再決定要不要接。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ENERGY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疲勞值 100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每天回滿，再扣持案負荷。</w:t>
              <w:br/>
              <w:t>每案每天 1 點基礎消耗。</w:t>
              <w:br/>
              <w:t>體力屬性每滿 10 點，減耗 5%。</w:t>
            </w:r>
          </w:p>
        </w:tc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CASH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金錢 50,000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收入不等於能自由花掉的利潤。</w:t>
              <w:br/>
              <w:t>月薪、委任費與固定支出都有日期。</w:t>
              <w:br/>
              <w:t>金錢或疲勞歸零，觸發對應結局。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疲勞值代表剩餘精力，越高越好；體力屬性是另一個 0–100 的能力值。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05 / CASES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半年案件，當下的錢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委任費先入帳，服務義務要完成。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30"/>
        </w:rPr>
        <w:t>▪ 180 日後結案；寫狀可提高勝率。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30"/>
        </w:rPr>
        <w:t>▪ 特殊案需四項能力總和至少 300。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案型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比例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委任費（建議初值）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詐欺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50%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40,000 元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離婚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20%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60,000 元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車禍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10%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30,000 元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一般民事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10%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40,000 元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特殊案件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10%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120,000 元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一般民事 10% 為補足原比例的建議；加權平均委任費 51,000 元，非保證每案收入。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06 / ART DIRECTION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臺灣職場的像素日常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親切、忙碌，帶一點自嘲。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6696"/>
            <w:vAlign w:val="center"/>
          </w:tcPr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正交斜俯視、直角格網；平行線不收束。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前後桌椅保持等大，窗框與櫃體不向消失點傾斜。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臺北以雨灰天空、濕窗與藍灰商辦為辨識。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以工作選擇與職場日常呈現幽默</w:t>
            </w:r>
          </w:p>
        </w:tc>
        <w:tc>
          <w:tcPr>
            <w:tcW w:type="dxa" w:w="1072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79" cy="34747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taipei_offi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9" cy="3474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此頁與封面、HUD 共用修正版正交場景；不得以宣傳透視圖代替遊戲投影參照。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07 / COLOUR &amp; MATERIAL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暖紙色，搭配冷調城市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舒適的辦公室，也藏得住疲倦。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30"/>
        </w:rPr>
        <w:t>▪ 光源方向與物件比例固定。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30"/>
        </w:rPr>
        <w:t>▪ 09:00／13:00／16:00／19:00 以光線層區分，不重畫四套物件。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色彩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色碼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暖紙色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#F4EFE4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文件、頁面與留白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深藍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#17323D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輪廓、文字與夜色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玉綠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#287F7C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日常、選取與成長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琥珀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#D9A648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燈光與資金重點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木棕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#936549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家具與空間溫度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警示紅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#BF5A50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1"/>
              </w:rPr>
              <w:t>過勞與資金危機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色名與色碼共用 art/visual_style.json；MD／CSV 逐項一致，輔助色另外列示。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08 / SCENE PROGRESSION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從擁擠小所，到自己的位置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空間直接呈現職涯成長。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EMPLOYEE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受僱小所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共用設備、緊湊桌位。</w:t>
              <w:br/>
              <w:t>卷宗與老舊家具營造起點。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ASSOCIATE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合署工作區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自己的招牌與接待角落。</w:t>
              <w:br/>
              <w:t>同一場景換區域，不必重建地圖。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OWNER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自有事務所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員工座位、諮詢區、卷宗設備。</w:t>
              <w:br/>
              <w:t>用模組擴充，容納 15 名受僱律師。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五種任職規模可共用場景基底與佈置變體，不代表一定要製作五套全新素材。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09 / TAIPEI HEADQUARTERS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臺北本所：可以經營的空間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主角工作區・諮詢區・員工座位・雨灰窗景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ipei_off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正交投影參照：平行線保持平行、近遠物件等大；容量與動線另以格網驗收。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10 / THREE CITIES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同一間事務所，三種城市氣味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臺北雨灰濕窗｜臺中暖日與綠意｜高雄港灣與海風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229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ty_branc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三城市共用正交投影與物件尺度；差異來自窗景、天候與光色，不改成透視鏡頭。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11 / CAST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48 個外觀身分，從圖層組裝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45 名在職員工＋3 名招募候選，精靈與肖像共用 AppearanceProfile。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450285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roster_w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5028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分層結構驗證原型，非最終遊戲美術；臉型、髮型、衣著與身形共同辨識，存讀不重抽。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12 / CHARACTER PRODUCTION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肖像與精靈，共用外觀身分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45 名在職員工與 3 名招募樣本，要能在同一份名單中辨認。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8765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8765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製作規格</w:t>
            </w:r>
          </w:p>
        </w:tc>
      </w:tr>
      <w:tr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精靈畫布</w:t>
            </w:r>
          </w:p>
        </w:tc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32×48 px，腳點 (16,44)，四方向一致</w:t>
            </w:r>
          </w:p>
        </w:tc>
      </w:tr>
      <w:tr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精靈分層</w:t>
            </w:r>
          </w:p>
        </w:tc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身形、頭部、前後髮、服裝、配件</w:t>
            </w:r>
          </w:p>
        </w:tc>
      </w:tr>
      <w:tr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肖像分層</w:t>
            </w:r>
          </w:p>
        </w:tc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臉型、五官、前後髮、衣領、配件、表情</w:t>
            </w:r>
          </w:p>
        </w:tc>
      </w:tr>
      <w:tr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身分保存</w:t>
            </w:r>
          </w:p>
        </w:tc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共用 AppearanceProfile／部件 ID，存讀不重抽</w:t>
            </w:r>
          </w:p>
        </w:tc>
      </w:tr>
      <w:tr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動作相容</w:t>
            </w:r>
          </w:p>
        </w:tc>
        <w:tc>
          <w:tcPr>
            <w:tcW w:type="dxa" w:w="876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待機、走路、寫狀、交談、疲倦逐層校正</w:t>
            </w:r>
          </w:p>
        </w:tc>
      </w:tr>
      <w:tr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辨識驗收</w:t>
            </w:r>
          </w:p>
        </w:tc>
        <w:tc>
          <w:tcPr>
            <w:tcW w:type="dxa" w:w="8765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45＋3 結構組合不重複，不只比較髮色與服裝色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部件數、基礎姿勢、相容矩陣與樣本清單分開驗收；理論組合數不等於已完成素材數。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13 / CHARACTER GROWTH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四項能力，四條經營路線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同樣的律師，可以有不同活法。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LITIGATION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訴訟能力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主要影響勝率。</w:t>
              <w:br/>
              <w:t>寫狀與研究帶來準備。</w:t>
            </w:r>
          </w:p>
        </w:tc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ELOQUENCE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口才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提高客戶委任率。</w:t>
              <w:br/>
              <w:t>少量影響訴訟結果。</w:t>
            </w:r>
          </w:p>
        </w:tc>
      </w:tr>
      <w:tr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ENDURANCE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體力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降低每日消耗。</w:t>
              <w:br/>
              <w:t>和疲勞資源分開儲存。</w:t>
            </w:r>
          </w:p>
        </w:tc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POPULARITY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人氣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增加曝光與諮詢。</w:t>
              <w:br/>
              <w:t>開業後更容易遇到人才。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主角四項基礎能力各 25、最終上限 100；開局自由選擇一個金色與一個銀色特性。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14 / TRAITS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十三種特性，形成開局風格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徽章要辨識等級，圖形要看得出效果。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GOLD / 5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金色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頂級牛馬</w:t>
              <w:br/>
              <w:t>訴訟之神</w:t>
              <w:br/>
              <w:t>顏值頂天</w:t>
              <w:br/>
              <w:t>被律師耽誤的商人</w:t>
              <w:br/>
              <w:t>多面手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SILVER / 4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銀色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鐵人</w:t>
              <w:br/>
              <w:t>學霸</w:t>
              <w:br/>
              <w:t>嘴遁</w:t>
              <w:br/>
              <w:t>人氣王</w:t>
            </w:r>
          </w:p>
        </w:tc>
        <w:tc>
          <w:tcPr>
            <w:tcW w:type="dxa" w:w="5808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BRONZE / 4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青銅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忠誠</w:t>
              <w:br/>
              <w:t>長相端正</w:t>
              <w:br/>
              <w:t>健康</w:t>
              <w:br/>
              <w:t>光頭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一般角色 0–2 個特性，同色最多一個；完整效果沿用 PRD，不用顏色取代圖形辨識。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15 / INTERFACE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先看風險，再做選擇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首日教學完成、首案剛分派；未發生消費、月結或主要行動。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11779" cy="1874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ipei_off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177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2"/>
        <w:gridCol w:w="2922"/>
        <w:gridCol w:w="2922"/>
        <w:gridCol w:w="2922"/>
        <w:gridCol w:w="2922"/>
        <w:gridCol w:w="2922"/>
      </w:tblGrid>
      <w:tr>
        <w:tc>
          <w:tcPr>
            <w:tcW w:type="dxa" w:w="4695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日期／時段</w:t>
            </w:r>
          </w:p>
        </w:tc>
        <w:tc>
          <w:tcPr>
            <w:tcW w:type="dxa" w:w="2254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身分</w:t>
            </w:r>
          </w:p>
        </w:tc>
        <w:tc>
          <w:tcPr>
            <w:tcW w:type="dxa" w:w="2817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資金</w:t>
            </w:r>
          </w:p>
        </w:tc>
        <w:tc>
          <w:tcPr>
            <w:tcW w:type="dxa" w:w="2066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疲勞</w:t>
            </w:r>
          </w:p>
        </w:tc>
        <w:tc>
          <w:tcPr>
            <w:tcW w:type="dxa" w:w="1878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在手案件</w:t>
            </w:r>
          </w:p>
        </w:tc>
        <w:tc>
          <w:tcPr>
            <w:tcW w:type="dxa" w:w="3756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晨間持案扣耗</w:t>
            </w:r>
          </w:p>
        </w:tc>
      </w:tr>
      <w:tr>
        <w:tc>
          <w:tcPr>
            <w:tcW w:type="dxa" w:w="4695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第1年 01月01日｜09:00</w:t>
            </w:r>
          </w:p>
        </w:tc>
        <w:tc>
          <w:tcPr>
            <w:tcW w:type="dxa" w:w="2254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受僱律師</w:t>
            </w:r>
          </w:p>
        </w:tc>
        <w:tc>
          <w:tcPr>
            <w:tcW w:type="dxa" w:w="2817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NT$50,000</w:t>
            </w:r>
          </w:p>
        </w:tc>
        <w:tc>
          <w:tcPr>
            <w:tcW w:type="dxa" w:w="2066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100/100</w:t>
            </w:r>
          </w:p>
        </w:tc>
        <w:tc>
          <w:tcPr>
            <w:tcW w:type="dxa" w:w="1878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1 案</w:t>
            </w:r>
          </w:p>
        </w:tc>
        <w:tc>
          <w:tcPr>
            <w:tcW w:type="dxa" w:w="3756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19"/>
              </w:rPr>
              <w:t>今日 0／明早 0.9</w:t>
            </w:r>
          </w:p>
        </w:tc>
      </w:tr>
    </w:tbl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24"/>
        </w:rPr>
        <w:t>▪ 首案在晨間後分派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24"/>
        </w:rPr>
        <w:t>▪ 尚無消費或行動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 w:val="0"/>
          <w:color w:val="17323D"/>
          <w:sz w:val="24"/>
        </w:rPr>
        <w:t>▪ 今日 0／明早 0.9</w:t>
      </w:r>
    </w:p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體力 25、商人＋人氣王，減耗倍率 0.9；新案不回扣今日晨間，明早才扣 1×0.9。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16 / PROPS &amp; ICONS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用小物件，讓工作有故事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辦公物件與介面圖示，共用視覺語言。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6696"/>
            <w:vAlign w:val="center"/>
          </w:tcPr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辦公：桌椅、電腦、文件櫃與影印機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日常：咖啡、公事包、文件與植栽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介面：資金、疲勞、日曆與存讀檔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狀態：能力成長、特性等級與時間提示</w:t>
            </w:r>
          </w:p>
        </w:tc>
        <w:tc>
          <w:tcPr>
            <w:tcW w:type="dxa" w:w="1072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3997" cy="3474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rops_and_mood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997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物件與圖示為造型參考；事件場景另製，兩種結局完整文案保留於 PRD。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17 / PEOPLE &amp; WORKLOAD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分出去，不是把責任消掉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好的分案，比盲目聘人有效。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CAPACITY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每所 15 名律師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不含主角，三所最多 45 名受僱。</w:t>
              <w:br/>
              <w:t>依能力、特性與安全案量分派。</w:t>
              <w:br/>
              <w:t>員工卡顯示薪資、負荷與據點。</w:t>
            </w:r>
          </w:p>
        </w:tc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OVERWORK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過勞有倒數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連續疲勞 60 日會離職。</w:t>
              <w:br/>
              <w:t>減載後於日終解除並歸零計時。</w:t>
              <w:br/>
              <w:t>離職案件回待分派池，期限不變。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NPC 安全量與忠誠的 90 日期限屬建議補完；主角疲勞歸零則直接進健康結局。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18 / ART INVENTORY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每個畫面，都有可追蹤的交付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分層部件、外觀樣本與動作相容性分開計數。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43"/>
        <w:gridCol w:w="5843"/>
        <w:gridCol w:w="5843"/>
      </w:tblGrid>
      <w:tr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交付項目</w:t>
            </w:r>
          </w:p>
        </w:tc>
        <w:tc>
          <w:tcPr>
            <w:tcW w:type="dxa" w:w="5843"/>
            <w:shd w:fill="17323D"/>
            <w:vAlign w:val="center"/>
          </w:tcPr>
          <w:p>
            <w:pPr>
              <w:spacing w:after="120" w:before="120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驗收重點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場景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任職所、本所、三城市、夜間、結局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視角、格網、動線、光線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人物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精靈 10 層／93 造型</w:t>
              <w:br/>
              <w:t>肖像 13 層／122 造型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45 在職＋3 候選結構辨識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動畫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身形基礎姿勢＋各部件相容圖層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逐方向、逐動作、錨點一致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物件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地圖模組、家具、設備、文件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可拼接、遮擋、尺寸統一</w:t>
            </w:r>
          </w:p>
        </w:tc>
      </w:tr>
      <w:tr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介面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HUD、選單、圖示、13 特性徽章</w:t>
            </w:r>
          </w:p>
        </w:tc>
        <w:tc>
          <w:tcPr>
            <w:tcW w:type="dxa" w:w="5843"/>
            <w:shd w:fill="FFFFFF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文字可讀、狀態、九宮格</w:t>
            </w:r>
          </w:p>
        </w:tc>
      </w:tr>
      <w:tr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事件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諮詢、媒體、日常、兩種結局</w:t>
            </w:r>
          </w:p>
        </w:tc>
        <w:tc>
          <w:tcPr>
            <w:tcW w:type="dxa" w:w="5843"/>
            <w:shd w:fill="E2ECE7"/>
          </w:tcPr>
          <w:p>
            <w:pPr>
              <w:spacing w:after="120" w:before="120" w:line="259" w:lineRule="auto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2"/>
              </w:rPr>
              <w:t>焦點清楚、文案安全區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清單規劃 136 工作項目、349 繪製基底，均待製作；配置、調色與控制表不當作新圖。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19 / DELIVERY SPEC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概念圖，到可匯入素材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風格參考與正式遊戲素材分開交付。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CONCEPT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先確認長相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正交臺北場景、城市與服裝參考。</w:t>
              <w:br/>
              <w:t>NPC 以分層身分系統設計。</w:t>
              <w:br/>
              <w:t>概念圖仍須按規格製作。</w:t>
            </w:r>
          </w:p>
        </w:tc>
        <w:tc>
          <w:tcPr>
            <w:tcW w:type="dxa" w:w="8712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PRODUCTION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再依規格製作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場景 640×360；格網 32×32。</w:t>
              <w:br/>
              <w:t>角色 32×48，透明底 PNG。</w:t>
              <w:br/>
              <w:t>統一錨點、命名、逐格表與驗收。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場景投影先驗收；人物組裝須保留部件清單與相容性，不把整張人設板當作精靈表。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20 / PRODUCTION ROADMAP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先做能玩的，再做完整的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美術投入跟著玩法驗證走。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82"/>
        <w:gridCol w:w="4382"/>
        <w:gridCol w:w="4382"/>
        <w:gridCol w:w="4382"/>
      </w:tblGrid>
      <w:tr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A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核心切片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小所、主角、HUD</w:t>
              <w:br/>
              <w:t>疲勞、金錢、兩結局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B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職涯與案件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特性、案件、合署</w:t>
              <w:br/>
              <w:t>五規模佈置與排程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C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開業與三地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招募、分案、過勞</w:t>
              <w:br/>
              <w:t>三城場景與分所介面</w:t>
            </w:r>
          </w:p>
        </w:tc>
        <w:tc>
          <w:tcPr>
            <w:tcW w:type="dxa" w:w="4356"/>
            <w:shd w:fill="FFFFFF"/>
            <w:vAlign w:val="top"/>
          </w:tcPr>
          <w:p>
            <w:pPr>
              <w:spacing w:before="180" w:after="140"/>
            </w:pPr>
            <w:r>
              <w:rPr>
                <w:rFonts w:ascii="Noto Sans CJK TC" w:hAnsi="Noto Sans CJK TC" w:eastAsia="Noto Sans CJK TC"/>
                <w:b/>
                <w:color w:val="287F7C"/>
                <w:sz w:val="18"/>
              </w:rPr>
              <w:t>D</w:t>
              <w:br/>
            </w:r>
            <w:r>
              <w:rPr>
                <w:rFonts w:ascii="Noto Sans CJK TC" w:hAnsi="Noto Sans CJK TC" w:eastAsia="Noto Sans CJK TC"/>
                <w:b/>
                <w:color w:val="17323D"/>
                <w:sz w:val="30"/>
              </w:rPr>
              <w:t>整體交付</w:t>
            </w:r>
          </w:p>
          <w:p>
            <w:pPr>
              <w:spacing w:after="200" w:line="36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4"/>
              </w:rPr>
              <w:t>完整事件與介面</w:t>
              <w:br/>
              <w:t>20 存檔位、尺寸與效能驗收</w:t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三個城市仍屬完整第一版；階段為製作順序，工期需依團隊產能估算。</w:t>
      </w:r>
    </w:p>
    <w:p>
      <w:pPr>
        <w:pageBreakBefore/>
        <w:spacing w:before="0" w:after="60" w:line="269" w:lineRule="auto"/>
      </w:pPr>
      <w:r>
        <w:rPr>
          <w:rFonts w:ascii="Noto Sans CJK TC" w:hAnsi="Noto Sans CJK TC" w:eastAsia="Noto Sans CJK TC"/>
          <w:b/>
          <w:color w:val="287F7C"/>
          <w:sz w:val="20"/>
        </w:rPr>
        <w:t>21 / READY TO HAND OFF</w:t>
      </w:r>
    </w:p>
    <w:p>
      <w:pPr>
        <w:spacing w:before="0" w:after="120" w:line="269" w:lineRule="auto"/>
      </w:pPr>
      <w:r>
        <w:rPr>
          <w:rFonts w:ascii="Noto Sans CJK TC" w:hAnsi="Noto Sans CJK TC" w:eastAsia="Noto Sans CJK TC"/>
          <w:b/>
          <w:color w:val="17323D"/>
          <w:sz w:val="54"/>
        </w:rPr>
        <w:t>用同一套規格，開始製作</w:t>
      </w:r>
    </w:p>
    <w:p>
      <w:pPr>
        <w:spacing w:before="0" w:after="180" w:line="269" w:lineRule="auto"/>
      </w:pPr>
      <w:r>
        <w:rPr>
          <w:rFonts w:ascii="Noto Sans CJK TC" w:hAnsi="Noto Sans CJK TC" w:eastAsia="Noto Sans CJK TC"/>
          <w:b w:val="0"/>
          <w:color w:val="687C80"/>
          <w:sz w:val="25"/>
        </w:rPr>
        <w:t>概念確認方向，清單支持逐項發包與驗收。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5"/>
        <w:gridCol w:w="8765"/>
      </w:tblGrid>
      <w:tr>
        <w:tc>
          <w:tcPr>
            <w:tcW w:type="dxa" w:w="6696"/>
            <w:vAlign w:val="center"/>
          </w:tcPr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PDF 簡報：檢閱、分享與提案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Word 文件：可編輯文字與註記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PNG 參考：場景、人物與分層</w:t>
            </w:r>
          </w:p>
          <w:p>
            <w:pPr>
              <w:spacing w:after="260" w:line="400" w:lineRule="exact"/>
            </w:pPr>
            <w:r>
              <w:rPr>
                <w:rFonts w:ascii="Noto Sans CJK TC" w:hAnsi="Noto Sans CJK TC" w:eastAsia="Noto Sans CJK TC"/>
                <w:b w:val="0"/>
                <w:color w:val="17323D"/>
                <w:sz w:val="26"/>
              </w:rPr>
              <w:t>▪ MD／CSV 清單：排序與追蹤派工</w:t>
            </w:r>
          </w:p>
        </w:tc>
        <w:tc>
          <w:tcPr>
            <w:tcW w:type="dxa" w:w="1072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3997" cy="3474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portrait_layer_concep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997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 w:line="269" w:lineRule="auto"/>
      </w:pPr>
      <w:r>
        <w:rPr>
          <w:rFonts w:ascii="Noto Sans CJK TC" w:hAnsi="Noto Sans CJK TC" w:eastAsia="Noto Sans CJK TC"/>
          <w:b w:val="0"/>
          <w:color w:val="687C80"/>
          <w:sz w:val="18"/>
        </w:rPr>
        <w:t>肖像分層圖為組裝方向概念，不是可交付圖集；原八人圖僅供服裝氣質參考。本次不含音樂與音訊製作。</w:t>
      </w:r>
    </w:p>
    <w:sectPr w:rsidR="00FC693F" w:rsidRPr="0006063C" w:rsidSect="00034616">
      <w:footerReference w:type="default" r:id="rId9"/>
      <w:pgSz w:w="19200" w:h="10800"/>
      <w:pgMar w:top="605" w:right="835" w:bottom="619" w:left="835" w:header="187" w:footer="18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87C80"/>
        <w:sz w:val="16"/>
      </w:rPr>
      <w:t xml:space="preserve">訴訟之神之路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訴訟之神之路｜2D 像素美術與遊戲提案</dc:title>
  <dc:subject>2D pixel art game design and art production presentation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