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DO YOU SEE WHAT I’M SAYING:</w:t>
      </w:r>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r>
        <w:rPr>
          <w:rFonts w:cs="Times New Roman"/>
        </w:rPr>
        <w:t>of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by</w:t>
      </w:r>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8575D" w:rsidRDefault="00D8575D"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D8575D" w:rsidRDefault="00D8575D"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power it with a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r w:rsidR="00BE4458" w:rsidRPr="00B164DB">
        <w:rPr>
          <w:rFonts w:cs="Times New Roman"/>
        </w:rPr>
        <w:t>Cuartielles</w:t>
      </w:r>
      <w:r w:rsidR="00BE4458">
        <w:rPr>
          <w:rFonts w:cs="Times New Roman"/>
        </w:rPr>
        <w:t xml:space="preserve">, </w:t>
      </w:r>
      <w:r w:rsidR="00BE4458" w:rsidRPr="00B164DB">
        <w:rPr>
          <w:rFonts w:cs="Times New Roman"/>
        </w:rPr>
        <w:t>Igoe</w:t>
      </w:r>
      <w:r w:rsidR="00BE4458">
        <w:rPr>
          <w:rFonts w:cs="Times New Roman"/>
        </w:rPr>
        <w:t xml:space="preserve"> &amp; </w:t>
      </w:r>
      <w:r w:rsidR="00BE4458" w:rsidRPr="00B164DB">
        <w:rPr>
          <w:rFonts w:cs="Times New Roman"/>
        </w:rPr>
        <w:t>Mellis</w:t>
      </w:r>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Putting it Together</w:t>
      </w:r>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D8575D" w:rsidRDefault="00D8575D"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D8575D" w:rsidRDefault="00D8575D"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D8575D" w:rsidRDefault="00D8575D"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sually of three dimensions (Buckley, Süsstrunk &amp; Swen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Five by five matrix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r w:rsidRPr="003A0BE8">
        <w:rPr>
          <w:rFonts w:cs="Times New Roman"/>
          <w:iCs/>
          <w:color w:val="000000"/>
        </w:rPr>
        <w:t>Table 3.7</w:t>
      </w:r>
      <w:r w:rsidR="00A36362" w:rsidRPr="003A0BE8">
        <w:rPr>
          <w:rFonts w:cs="Times New Roman"/>
          <w:iCs/>
          <w:color w:val="000000"/>
        </w:rPr>
        <w:t>.</w:t>
      </w:r>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t the luminosity or brightness and Cb,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9"/>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r w:rsidR="00D8575D">
        <w:rPr>
          <w:rFonts w:cs="Times New Roman"/>
        </w:rPr>
        <w:t>Gurevych, Malaka, Porzel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r w:rsidR="00D8575D">
        <w:rPr>
          <w:rFonts w:cs="Times New Roman"/>
        </w:rPr>
        <w:t xml:space="preserve">Roos, Vogt &amp; Wiesman,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r w:rsidR="00BF1300">
        <w:rPr>
          <w:rFonts w:cs="Times New Roman"/>
          <w:color w:val="000000"/>
        </w:rPr>
        <w:t xml:space="preserve"> (</w:t>
      </w:r>
      <w:r w:rsidR="00BF1300">
        <w:rPr>
          <w:rFonts w:cs="Times New Roman"/>
        </w:rPr>
        <w:t xml:space="preserve">Simmons, </w:t>
      </w:r>
      <w:r w:rsidR="00BF1300">
        <w:rPr>
          <w:rFonts w:cs="Times New Roman"/>
        </w:rPr>
        <w:t>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“go”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be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presented.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Sally.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xml:space="preserve">. </w:t>
      </w:r>
      <w:bookmarkStart w:id="0" w:name="_GoBack"/>
      <w:bookmarkEnd w:id="0"/>
      <w:r w:rsidR="00BF1300">
        <w:rPr>
          <w:rFonts w:cs="Times New Roman"/>
        </w:rPr>
        <w:t xml:space="preserve">(Sridharan &amp; Stone, </w:t>
      </w:r>
      <w:r w:rsidR="00BF1300">
        <w:rPr>
          <w:rFonts w:cs="Times New Roman"/>
        </w:rPr>
        <w:t>2009)</w:t>
      </w:r>
      <w:r w:rsidR="00BF1300">
        <w:rPr>
          <w:rFonts w:cs="Times New Roman"/>
        </w:rPr>
        <w:t xml:space="preserve">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r w:rsidR="00E33575" w:rsidRPr="00E33575">
        <w:rPr>
          <w:rFonts w:cs="Times New Roman"/>
          <w:i/>
        </w:rPr>
        <w:t>reqgrp</w:t>
      </w:r>
      <w:r w:rsidRPr="0040237C">
        <w:rPr>
          <w:rFonts w:cs="Times New Roman"/>
        </w:rPr>
        <w:t xml:space="preserve">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w:t>
      </w:r>
      <w:r w:rsidR="00E33575">
        <w:rPr>
          <w:rFonts w:cs="Times New Roman"/>
        </w:rPr>
        <w:t xml:space="preserve">oncepts. The second tag is </w:t>
      </w:r>
      <w:r w:rsidR="00E33575" w:rsidRPr="00E33575">
        <w:rPr>
          <w:rFonts w:cs="Times New Roman"/>
          <w:i/>
        </w:rPr>
        <w:t>req</w:t>
      </w:r>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who's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(Lauria, Bugmann, Kyriacou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NLP and Learning</w:t>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ng of natural language such as WordN</w:t>
      </w:r>
      <w:r w:rsidR="004F65EB">
        <w:rPr>
          <w:rFonts w:cs="Times New Roman"/>
        </w:rPr>
        <w:t>et and</w:t>
      </w:r>
      <w:r w:rsidR="00CC3105">
        <w:rPr>
          <w:rFonts w:cs="Times New Roman"/>
        </w:rPr>
        <w:t xml:space="preserve"> FrameN</w:t>
      </w:r>
      <w:r w:rsidR="004F65EB">
        <w:rPr>
          <w:rFonts w:cs="Times New Roman"/>
        </w:rPr>
        <w:t>et are still growing</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Chapter 7</w:t>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throuph multiple iterations. The iRobot Create provides the system with a literal sturdy base upon which to build. </w:t>
      </w:r>
      <w:r w:rsidR="00410F07">
        <w:rPr>
          <w:rFonts w:cs="Times New Roman"/>
        </w:rPr>
        <w:t xml:space="preserve">Using a web-cam to gather image data gives the programmer a large amount of data that can possibly be used for navigation and identification. A netbook provides the ability to use any nearly any programming language for software creation. Lastly the Arduino allows for the addition of many other sensing apparatus. Using C++ that can execute MATLAB functions gives the versatility and speed of C++ combined with the optimizations that MATLAB provides when working with images and other matrices. In order to interact with objects in the world a robot would need to be able to </w:t>
      </w:r>
      <w:r w:rsidR="00462049">
        <w:rPr>
          <w:rFonts w:cs="Times New Roman"/>
        </w:rPr>
        <w:t>extract them from images of the world. K-Means clustering provides a valid way to extract discrete objects from these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 a much more manageable amount from the whole English dictionary to a smaller set of concepts that those words represent.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(2010). </w:t>
      </w:r>
      <w:r w:rsidRPr="000A496D">
        <w:rPr>
          <w:rFonts w:cs="Times New Roman"/>
          <w:i/>
        </w:rPr>
        <w:t xml:space="preserve">KMeans Segmentation </w:t>
      </w:r>
      <w:r>
        <w:rPr>
          <w:rFonts w:cs="Times New Roman"/>
          <w:i/>
        </w:rPr>
        <w:t>–</w:t>
      </w:r>
      <w:r w:rsidRPr="000A496D">
        <w:rPr>
          <w:rFonts w:cs="Times New Roman"/>
          <w:i/>
        </w:rPr>
        <w:t xml:space="preserve"> MEX</w:t>
      </w:r>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segmentation-mex</w:t>
      </w:r>
    </w:p>
    <w:p w:rsidR="002B6691" w:rsidRDefault="002B6691" w:rsidP="00B164DB">
      <w:pPr>
        <w:rPr>
          <w:rFonts w:cs="Times New Roman"/>
        </w:rPr>
      </w:pPr>
    </w:p>
    <w:p w:rsidR="002B6691" w:rsidRDefault="002B6691" w:rsidP="00B164DB">
      <w:pPr>
        <w:rPr>
          <w:rFonts w:cs="Times New Roman"/>
        </w:rPr>
      </w:pPr>
      <w:r>
        <w:rPr>
          <w:rFonts w:cs="Times New Roman"/>
        </w:rPr>
        <w:t xml:space="preserve">Buckley, R., &amp; Süsstrunk, S., &amp; Swen, S. (1999). </w:t>
      </w:r>
      <w:r w:rsidR="00BE4458">
        <w:rPr>
          <w:rFonts w:cs="Times New Roman"/>
        </w:rPr>
        <w:t xml:space="preserve">Standard RGB color spaces.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r w:rsidRPr="00B164DB">
        <w:rPr>
          <w:rFonts w:cs="Times New Roman"/>
        </w:rPr>
        <w:t>Cuartielles</w:t>
      </w:r>
      <w:r w:rsidR="009E1F76">
        <w:rPr>
          <w:rFonts w:cs="Times New Roman"/>
        </w:rPr>
        <w:t>, D</w:t>
      </w:r>
      <w:r>
        <w:rPr>
          <w:rFonts w:cs="Times New Roman"/>
        </w:rPr>
        <w:t xml:space="preserve">, &amp; </w:t>
      </w:r>
      <w:r w:rsidRPr="00B164DB">
        <w:rPr>
          <w:rFonts w:cs="Times New Roman"/>
        </w:rPr>
        <w:t>Igoe</w:t>
      </w:r>
      <w:r w:rsidR="009E1F76">
        <w:rPr>
          <w:rFonts w:cs="Times New Roman"/>
        </w:rPr>
        <w:t>, T</w:t>
      </w:r>
      <w:r>
        <w:rPr>
          <w:rFonts w:cs="Times New Roman"/>
        </w:rPr>
        <w:t xml:space="preserve">, &amp; </w:t>
      </w:r>
      <w:r w:rsidR="00B164DB" w:rsidRPr="00B164DB">
        <w:rPr>
          <w:rFonts w:cs="Times New Roman"/>
        </w:rPr>
        <w:t>Mellis</w:t>
      </w:r>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r w:rsidR="005C52CB">
        <w:rPr>
          <w:rFonts w:cs="Times New Roman"/>
          <w:i/>
        </w:rPr>
        <w:t>Arduino</w:t>
      </w:r>
      <w:r w:rsidR="00B164DB">
        <w:rPr>
          <w:rFonts w:cs="Times New Roman"/>
          <w:i/>
        </w:rPr>
        <w:t>Duemilanove</w:t>
      </w:r>
      <w:r w:rsidR="005C52CB">
        <w:rPr>
          <w:rFonts w:cs="Times New Roman"/>
        </w:rPr>
        <w:t xml:space="preserve">. </w:t>
      </w:r>
      <w:r w:rsidR="005C52CB">
        <w:rPr>
          <w:rFonts w:cs="Times New Roman"/>
        </w:rPr>
        <w:tab/>
        <w:t xml:space="preserve">Retrieved from </w:t>
      </w:r>
      <w:hyperlink r:id="rId22" w:history="1">
        <w:r w:rsidR="00B164DB" w:rsidRPr="00B862E4">
          <w:rPr>
            <w:rStyle w:val="Hyperlink"/>
            <w:rFonts w:cs="Times New Roman"/>
          </w:rPr>
          <w:t>http://www.arduino.cc/en/Main/ArduinoBoardDuemilanove</w:t>
        </w:r>
      </w:hyperlink>
      <w:r w:rsidR="00310403">
        <w:rPr>
          <w:rFonts w:cs="Times New Roman"/>
        </w:rPr>
        <w:t>.</w:t>
      </w:r>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Combining Sonar and Infrared Sensors for Mobile Robot </w:t>
      </w:r>
      <w:r>
        <w:rPr>
          <w:rFonts w:cs="Times New Roman"/>
        </w:rPr>
        <w:tab/>
        <w:t xml:space="preserve">Navigation.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r>
        <w:rPr>
          <w:rFonts w:cs="Times New Roman"/>
          <w:i/>
        </w:rPr>
        <w:t>The language of thought.</w:t>
      </w:r>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r>
        <w:rPr>
          <w:rFonts w:cs="Times New Roman"/>
        </w:rPr>
        <w:t xml:space="preserve">Gurevych, I., &amp; Malaka, R., &amp; Porzel, R., &amp; Zorn, H. (2003). </w:t>
      </w:r>
      <w:r w:rsidR="00BE4458">
        <w:rPr>
          <w:rFonts w:cs="Times New Roman"/>
        </w:rPr>
        <w:t xml:space="preserve">Semantic coherence </w:t>
      </w:r>
      <w:r w:rsidR="00BE4458">
        <w:rPr>
          <w:rFonts w:cs="Times New Roman"/>
        </w:rPr>
        <w:tab/>
        <w:t>scoring using an ontology. Proceedings of HLT-</w:t>
      </w:r>
      <w:r>
        <w:rPr>
          <w:rFonts w:cs="Times New Roman"/>
        </w:rPr>
        <w:t>NAACL 2003.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r>
        <w:rPr>
          <w:rFonts w:cs="Times New Roman"/>
        </w:rPr>
        <w:t xml:space="preserve">Lauria, S., &amp; Bugmann, G., &amp; Kyriacou, T., &amp; Klein, E. (2002). Mobile robot </w:t>
      </w:r>
      <w:r>
        <w:rPr>
          <w:rFonts w:cs="Times New Roman"/>
        </w:rPr>
        <w:tab/>
        <w:t xml:space="preserve">programming using natural language. </w:t>
      </w:r>
      <w:r>
        <w:rPr>
          <w:rFonts w:cs="Times New Roman"/>
          <w:i/>
        </w:rPr>
        <w:t>Robotics and Autonomous Systems. 38</w:t>
      </w:r>
      <w:r>
        <w:rPr>
          <w:rFonts w:cs="Times New Roman"/>
        </w:rPr>
        <w:t xml:space="preserve">, </w:t>
      </w:r>
      <w:r>
        <w:rPr>
          <w:rFonts w:cs="Times New Roman"/>
        </w:rPr>
        <w:tab/>
        <w:t>171-181</w:t>
      </w:r>
    </w:p>
    <w:p w:rsidR="002B6691" w:rsidRDefault="002B6691" w:rsidP="00B164DB">
      <w:pPr>
        <w:rPr>
          <w:rFonts w:cs="Times New Roman"/>
        </w:rPr>
      </w:pPr>
    </w:p>
    <w:p w:rsidR="002B6691" w:rsidRDefault="002B6691" w:rsidP="002B6691">
      <w:pPr>
        <w:rPr>
          <w:rFonts w:cs="Times New Roman"/>
        </w:rPr>
      </w:pPr>
      <w:r>
        <w:rPr>
          <w:rFonts w:cs="Times New Roman"/>
        </w:rPr>
        <w:t xml:space="preserve">Roos, N., &amp; Vogt, P., &amp; Wiesman, F. (2002). </w:t>
      </w:r>
      <w:r w:rsidR="00BE4458">
        <w:rPr>
          <w:rFonts w:cs="Times New Roman"/>
        </w:rPr>
        <w:t xml:space="preserve">Automatic ontology mapping for agent </w:t>
      </w:r>
      <w:r w:rsidR="00BE4458">
        <w:rPr>
          <w:rFonts w:cs="Times New Roman"/>
        </w:rPr>
        <w:tab/>
        <w:t xml:space="preserve">communication.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r w:rsidRPr="00310403">
        <w:rPr>
          <w:rFonts w:cs="Times New Roman"/>
        </w:rPr>
        <w:t>Shapiro, L. G., &amp; St</w:t>
      </w:r>
      <w:r>
        <w:rPr>
          <w:rFonts w:cs="Times New Roman"/>
        </w:rPr>
        <w:t>ockman, G. C. (2001). Computer V</w:t>
      </w:r>
      <w:r w:rsidRPr="00310403">
        <w:rPr>
          <w:rFonts w:cs="Times New Roman"/>
        </w:rPr>
        <w:t xml:space="preserve">isión. Prentice Hall. Retrieved </w:t>
      </w:r>
      <w:r>
        <w:rPr>
          <w:rFonts w:cs="Times New Roman"/>
        </w:rPr>
        <w:tab/>
      </w:r>
      <w:r w:rsidRPr="00310403">
        <w:rPr>
          <w:rFonts w:cs="Times New Roman"/>
        </w:rPr>
        <w:t xml:space="preserve">from </w:t>
      </w:r>
      <w:hyperlink r:id="rId23" w:history="1">
        <w:r w:rsidRPr="00B862E4">
          <w:rPr>
            <w:rStyle w:val="Hyperlink"/>
            <w:rFonts w:cs="Times New Roman"/>
          </w:rPr>
          <w:t>http://www.cse.msu.edu/~stockman/Book/</w:t>
        </w:r>
      </w:hyperlink>
      <w:r w:rsidRPr="00310403">
        <w:rPr>
          <w:rFonts w:cs="Times New Roman"/>
        </w:rPr>
        <w:t>.</w:t>
      </w:r>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Natural language question answering systems.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r>
        <w:rPr>
          <w:rFonts w:cs="Times New Roman"/>
        </w:rPr>
        <w:t xml:space="preserve">Sridharan, M., &amp; Stone, P. (2009). Color learning and illumination invariance on </w:t>
      </w:r>
      <w:r>
        <w:rPr>
          <w:rFonts w:cs="Times New Roman"/>
        </w:rPr>
        <w:tab/>
        <w:t xml:space="preserve">mobile robots: A survey. </w:t>
      </w:r>
      <w:r>
        <w:rPr>
          <w:rFonts w:cs="Times New Roman"/>
          <w:i/>
        </w:rPr>
        <w:t>Robotics and Autonomous Systems.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footerReference w:type="default" r:id="rId24"/>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75D" w:rsidRDefault="00D8575D">
      <w:r>
        <w:separator/>
      </w:r>
    </w:p>
    <w:p w:rsidR="00D8575D" w:rsidRDefault="00D8575D"/>
  </w:endnote>
  <w:endnote w:type="continuationSeparator" w:id="0">
    <w:p w:rsidR="00D8575D" w:rsidRDefault="00D8575D">
      <w:r>
        <w:continuationSeparator/>
      </w:r>
    </w:p>
    <w:p w:rsidR="00D8575D" w:rsidRDefault="00D85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BF1300">
      <w:rPr>
        <w:noProof/>
      </w:rPr>
      <w:t>4</w:t>
    </w:r>
    <w:r>
      <w:fldChar w:fldCharType="end"/>
    </w:r>
  </w:p>
  <w:p w:rsidR="00D8575D" w:rsidRDefault="00D85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BF1300">
      <w:rPr>
        <w:noProof/>
      </w:rPr>
      <w:t>23</w:t>
    </w:r>
    <w:r>
      <w:fldChar w:fldCharType="end"/>
    </w:r>
  </w:p>
  <w:p w:rsidR="00D8575D" w:rsidRDefault="00D857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75D" w:rsidRDefault="00D8575D">
    <w:pPr>
      <w:pStyle w:val="Footer"/>
      <w:jc w:val="center"/>
    </w:pPr>
    <w:r>
      <w:fldChar w:fldCharType="begin"/>
    </w:r>
    <w:r>
      <w:instrText xml:space="preserve"> PAGE </w:instrText>
    </w:r>
    <w:r>
      <w:fldChar w:fldCharType="separate"/>
    </w:r>
    <w:r w:rsidR="00BF1300">
      <w:rPr>
        <w:noProof/>
      </w:rPr>
      <w:t>40</w:t>
    </w:r>
    <w:r>
      <w:fldChar w:fldCharType="end"/>
    </w:r>
  </w:p>
  <w:p w:rsidR="00D8575D" w:rsidRDefault="00D8575D">
    <w:pPr>
      <w:pStyle w:val="Footer"/>
    </w:pPr>
  </w:p>
  <w:p w:rsidR="00D8575D" w:rsidRDefault="00D857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75D" w:rsidRDefault="00D8575D">
      <w:r>
        <w:separator/>
      </w:r>
    </w:p>
    <w:p w:rsidR="00D8575D" w:rsidRDefault="00D8575D"/>
  </w:footnote>
  <w:footnote w:type="continuationSeparator" w:id="0">
    <w:p w:rsidR="00D8575D" w:rsidRDefault="00D8575D">
      <w:r>
        <w:continuationSeparator/>
      </w:r>
    </w:p>
    <w:p w:rsidR="00D8575D" w:rsidRDefault="00D857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1B6F5A"/>
    <w:rsid w:val="002148A1"/>
    <w:rsid w:val="002452F9"/>
    <w:rsid w:val="002A2134"/>
    <w:rsid w:val="002B29E2"/>
    <w:rsid w:val="002B5BB4"/>
    <w:rsid w:val="002B6691"/>
    <w:rsid w:val="002E1C59"/>
    <w:rsid w:val="002E2E04"/>
    <w:rsid w:val="0030642B"/>
    <w:rsid w:val="00310403"/>
    <w:rsid w:val="00312489"/>
    <w:rsid w:val="00330E92"/>
    <w:rsid w:val="00336BF2"/>
    <w:rsid w:val="00344F99"/>
    <w:rsid w:val="00355E50"/>
    <w:rsid w:val="00372DB6"/>
    <w:rsid w:val="00377163"/>
    <w:rsid w:val="0038656B"/>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D3EBF"/>
    <w:rsid w:val="004F291C"/>
    <w:rsid w:val="004F4456"/>
    <w:rsid w:val="004F65EB"/>
    <w:rsid w:val="00523E82"/>
    <w:rsid w:val="00544190"/>
    <w:rsid w:val="005448EB"/>
    <w:rsid w:val="0056537F"/>
    <w:rsid w:val="005C340B"/>
    <w:rsid w:val="005C52CB"/>
    <w:rsid w:val="005C6E2F"/>
    <w:rsid w:val="005F5C75"/>
    <w:rsid w:val="00616569"/>
    <w:rsid w:val="00647C5D"/>
    <w:rsid w:val="006627FA"/>
    <w:rsid w:val="006A0334"/>
    <w:rsid w:val="006A69CC"/>
    <w:rsid w:val="006C70F6"/>
    <w:rsid w:val="006E7926"/>
    <w:rsid w:val="0071245E"/>
    <w:rsid w:val="0071300E"/>
    <w:rsid w:val="007173D3"/>
    <w:rsid w:val="007212BE"/>
    <w:rsid w:val="00742F01"/>
    <w:rsid w:val="007501A8"/>
    <w:rsid w:val="00754014"/>
    <w:rsid w:val="00761642"/>
    <w:rsid w:val="007763DB"/>
    <w:rsid w:val="0079161A"/>
    <w:rsid w:val="0079557E"/>
    <w:rsid w:val="007958DE"/>
    <w:rsid w:val="007B247A"/>
    <w:rsid w:val="007B250A"/>
    <w:rsid w:val="007C24F3"/>
    <w:rsid w:val="007C2BFA"/>
    <w:rsid w:val="007C320F"/>
    <w:rsid w:val="007F1AC7"/>
    <w:rsid w:val="007F1C8C"/>
    <w:rsid w:val="007F357D"/>
    <w:rsid w:val="007F6AE8"/>
    <w:rsid w:val="008030DC"/>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762AC"/>
    <w:rsid w:val="00987DA7"/>
    <w:rsid w:val="009E1F76"/>
    <w:rsid w:val="009F13B9"/>
    <w:rsid w:val="00A1297E"/>
    <w:rsid w:val="00A13121"/>
    <w:rsid w:val="00A140F4"/>
    <w:rsid w:val="00A350E9"/>
    <w:rsid w:val="00A36362"/>
    <w:rsid w:val="00A765A4"/>
    <w:rsid w:val="00A870EF"/>
    <w:rsid w:val="00A95C6F"/>
    <w:rsid w:val="00A97AF1"/>
    <w:rsid w:val="00AA4EA1"/>
    <w:rsid w:val="00AB568B"/>
    <w:rsid w:val="00AD27A7"/>
    <w:rsid w:val="00B156F6"/>
    <w:rsid w:val="00B164DB"/>
    <w:rsid w:val="00B60422"/>
    <w:rsid w:val="00BD7D63"/>
    <w:rsid w:val="00BE4458"/>
    <w:rsid w:val="00BF0D46"/>
    <w:rsid w:val="00BF1300"/>
    <w:rsid w:val="00C05510"/>
    <w:rsid w:val="00C14269"/>
    <w:rsid w:val="00C17401"/>
    <w:rsid w:val="00C211D8"/>
    <w:rsid w:val="00C263E3"/>
    <w:rsid w:val="00C541D9"/>
    <w:rsid w:val="00C56D8A"/>
    <w:rsid w:val="00CB013C"/>
    <w:rsid w:val="00CC3105"/>
    <w:rsid w:val="00CC7DFE"/>
    <w:rsid w:val="00D2360A"/>
    <w:rsid w:val="00D465B2"/>
    <w:rsid w:val="00D46B62"/>
    <w:rsid w:val="00D661AC"/>
    <w:rsid w:val="00D8575D"/>
    <w:rsid w:val="00DA2262"/>
    <w:rsid w:val="00DC73F6"/>
    <w:rsid w:val="00DD14F5"/>
    <w:rsid w:val="00DD3170"/>
    <w:rsid w:val="00DE73D1"/>
    <w:rsid w:val="00DF13BA"/>
    <w:rsid w:val="00DF6217"/>
    <w:rsid w:val="00E07C07"/>
    <w:rsid w:val="00E125C7"/>
    <w:rsid w:val="00E32701"/>
    <w:rsid w:val="00E33575"/>
    <w:rsid w:val="00E478FA"/>
    <w:rsid w:val="00E54762"/>
    <w:rsid w:val="00E605DC"/>
    <w:rsid w:val="00E67A47"/>
    <w:rsid w:val="00E8537E"/>
    <w:rsid w:val="00EB1D8A"/>
    <w:rsid w:val="00EB33F5"/>
    <w:rsid w:val="00EC3C73"/>
    <w:rsid w:val="00ED7DDE"/>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cse.msu.edu/~stockman/Book/" TargetMode="External"/><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0475-7ABB-48CE-82CB-FF669BDF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53</Pages>
  <Words>9994</Words>
  <Characters>56968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66829</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10</cp:revision>
  <cp:lastPrinted>2011-03-22T18:40:00Z</cp:lastPrinted>
  <dcterms:created xsi:type="dcterms:W3CDTF">2011-04-13T17:49:00Z</dcterms:created>
  <dcterms:modified xsi:type="dcterms:W3CDTF">2011-04-14T08:40:00Z</dcterms:modified>
</cp:coreProperties>
</file>