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2E2AE2" w14:textId="77777777" w:rsidR="00740B59" w:rsidRDefault="00740B59">
      <w:pPr>
        <w:spacing w:before="2400"/>
      </w:pPr>
    </w:p>
    <w:p w14:paraId="492FF2E6" w14:textId="77777777" w:rsidR="00740B59" w:rsidRDefault="00000000">
      <w:pPr>
        <w:jc w:val="center"/>
      </w:pPr>
      <w:r>
        <w:rPr>
          <w:b/>
          <w:bCs/>
          <w:color w:val="1B2A4A"/>
          <w:sz w:val="64"/>
          <w:szCs w:val="64"/>
        </w:rPr>
        <w:t>CPF LIFE</w:t>
      </w:r>
    </w:p>
    <w:p w14:paraId="4F863061" w14:textId="77777777" w:rsidR="00740B59" w:rsidRDefault="00000000">
      <w:pPr>
        <w:spacing w:after="200"/>
        <w:jc w:val="center"/>
      </w:pPr>
      <w:r>
        <w:rPr>
          <w:color w:val="0F6E6E"/>
          <w:sz w:val="28"/>
          <w:szCs w:val="28"/>
        </w:rPr>
        <w:t>A Deep-Research Briefing on Singapore's National Longevity Annuity Scheme</w:t>
      </w:r>
    </w:p>
    <w:p w14:paraId="69FAD65F" w14:textId="77777777" w:rsidR="00740B59" w:rsidRDefault="00000000">
      <w:pPr>
        <w:pBdr>
          <w:top w:val="single" w:sz="6" w:space="10" w:color="B8860B"/>
        </w:pBdr>
        <w:spacing w:before="600"/>
        <w:jc w:val="center"/>
      </w:pPr>
      <w:r>
        <w:rPr>
          <w:color w:val="5B5F66"/>
          <w:sz w:val="20"/>
          <w:szCs w:val="20"/>
        </w:rPr>
        <w:t>Fundamentals · Retirement Sums · Plan Mechanics · Financing · Reform Trajectory</w:t>
      </w:r>
    </w:p>
    <w:p w14:paraId="56FEF23F" w14:textId="77777777" w:rsidR="00740B59" w:rsidRDefault="00000000">
      <w:pPr>
        <w:spacing w:before="1600"/>
        <w:jc w:val="center"/>
      </w:pPr>
      <w:r>
        <w:rPr>
          <w:b/>
          <w:bCs/>
          <w:color w:val="222222"/>
          <w:sz w:val="22"/>
          <w:szCs w:val="22"/>
        </w:rPr>
        <w:t>Prepared for Jeffery Neng</w:t>
      </w:r>
    </w:p>
    <w:p w14:paraId="0DA03EC5" w14:textId="77777777" w:rsidR="00740B59" w:rsidRDefault="00000000">
      <w:pPr>
        <w:spacing w:after="200"/>
        <w:jc w:val="center"/>
      </w:pPr>
      <w:r>
        <w:rPr>
          <w:color w:val="5B5F66"/>
          <w:sz w:val="20"/>
          <w:szCs w:val="20"/>
        </w:rPr>
        <w:t>September 2026</w:t>
      </w:r>
    </w:p>
    <w:p w14:paraId="5794C3E9" w14:textId="77777777" w:rsidR="00740B59" w:rsidRDefault="00000000">
      <w:pPr>
        <w:spacing w:before="2000"/>
        <w:jc w:val="center"/>
      </w:pPr>
      <w:r>
        <w:rPr>
          <w:i/>
          <w:iCs/>
          <w:color w:val="5B5F66"/>
          <w:sz w:val="17"/>
          <w:szCs w:val="17"/>
        </w:rPr>
        <w:t>Compiled from CPF Board primary sources, government fact sheets, peer-reviewed research and financial-industry commentary current to September 2026. All figures in Singapore dollars unless stated otherwise.</w:t>
      </w:r>
    </w:p>
    <w:p w14:paraId="012CB244" w14:textId="77777777" w:rsidR="00740B59" w:rsidRDefault="00000000">
      <w:r>
        <w:br w:type="page"/>
      </w:r>
    </w:p>
    <w:p w14:paraId="2ABF8E68" w14:textId="77777777" w:rsidR="00740B59" w:rsidRDefault="00000000">
      <w:pPr>
        <w:pStyle w:val="Heading1"/>
        <w:pBdr>
          <w:bottom w:val="single" w:sz="8" w:space="4" w:color="B8860B"/>
        </w:pBdr>
        <w:spacing w:before="420" w:after="200"/>
      </w:pPr>
      <w:r>
        <w:rPr>
          <w:b/>
          <w:bCs/>
          <w:color w:val="1B2A4A"/>
          <w:sz w:val="30"/>
          <w:szCs w:val="30"/>
        </w:rPr>
        <w:lastRenderedPageBreak/>
        <w:t>Executive Summary</w:t>
      </w:r>
    </w:p>
    <w:p w14:paraId="11C6EC00" w14:textId="77777777" w:rsidR="00740B59" w:rsidRDefault="00000000">
      <w:pPr>
        <w:spacing w:after="160" w:line="288" w:lineRule="auto"/>
        <w:jc w:val="both"/>
      </w:pPr>
      <w:r>
        <w:rPr>
          <w:color w:val="222222"/>
        </w:rPr>
        <w:t>CPF LIFE (Lifelong Income For the Elderly) is Singapore's mandatory national annuity scheme, converting a member's Retirement Account (RA) savings into a monthly income stream that is guaranteed to last for life, however long that turns out to be. It was introduced in 2009 to close a structural gap in the original CPF design, under which members could draw down their Retirement Sum Scheme savings on a fixed schedule and risk outliving them. Today it is the default retirement-income vehicle for essentially every Singapore Citizen and Permanent Resident born in 1958 or later.</w:t>
      </w:r>
    </w:p>
    <w:p w14:paraId="17586E2B" w14:textId="77777777" w:rsidR="00740B59" w:rsidRDefault="00000000">
      <w:pPr>
        <w:spacing w:after="160" w:line="288" w:lineRule="auto"/>
        <w:jc w:val="both"/>
      </w:pPr>
      <w:r>
        <w:rPr>
          <w:color w:val="222222"/>
        </w:rPr>
        <w:t xml:space="preserve">The scheme sits on three pillars covered in depth in this briefing: (1) a statutory savings target — the Basic, Full and Enhanced Retirement Sums (BRS/FRS/ERS) — that determines how much is </w:t>
      </w:r>
      <w:proofErr w:type="spellStart"/>
      <w:r>
        <w:rPr>
          <w:color w:val="222222"/>
        </w:rPr>
        <w:t>annuitised</w:t>
      </w:r>
      <w:proofErr w:type="spellEnd"/>
      <w:r>
        <w:rPr>
          <w:color w:val="222222"/>
        </w:rPr>
        <w:t>; (2) a choice of three payout plans (Standard, Basic, Escalating) that trade off monthly income today against inflation protection and bequest; and (3) a risk-pooling and interest-subsidy mechanism that lets CPF LIFE pay out more per dollar than a commercially priced annuity, because Singapore's peer-reviewed money's-worth research puts CPF LIFE annuities at 97–119 cents of value per dollar of premium, versus roughly 80–90 cents typical of private annuity markets.</w:t>
      </w:r>
    </w:p>
    <w:p w14:paraId="36871F42" w14:textId="77777777" w:rsidR="00740B59" w:rsidRDefault="00000000">
      <w:pPr>
        <w:spacing w:after="160" w:line="288" w:lineRule="auto"/>
        <w:jc w:val="both"/>
      </w:pPr>
      <w:r>
        <w:rPr>
          <w:color w:val="222222"/>
        </w:rPr>
        <w:t>For a member turning 55 in 2026, the reference figures are: BRS $110,200 (paired with property pledge), FRS $220,400 (the default, unpledged target), and ERS $440,800 (four times BRS, up from three times before the January 2025 reform). Standard Plan payouts from age 65 are roughly $950/month at BRS, $1,780/month at FRS, and $3,440/month at ERS. Deferring the payout start from 65 to 70 raises the monthly amount by up to 7% per year deferred, up to 35% in total.</w:t>
      </w:r>
    </w:p>
    <w:p w14:paraId="78C6E893" w14:textId="77777777" w:rsidR="00740B59" w:rsidRDefault="00000000">
      <w:pPr>
        <w:spacing w:after="160" w:line="288" w:lineRule="auto"/>
        <w:jc w:val="both"/>
      </w:pPr>
      <w:r>
        <w:rPr>
          <w:color w:val="222222"/>
        </w:rPr>
        <w:t xml:space="preserve">The scheme's core trade-off is liquidity for certainty: RA savings </w:t>
      </w:r>
      <w:proofErr w:type="spellStart"/>
      <w:r>
        <w:rPr>
          <w:color w:val="222222"/>
        </w:rPr>
        <w:t>annuitised</w:t>
      </w:r>
      <w:proofErr w:type="spellEnd"/>
      <w:r>
        <w:rPr>
          <w:color w:val="222222"/>
        </w:rPr>
        <w:t xml:space="preserve"> into CPF LIFE cannot be withdrawn as a lump sum (beyond the 20% allowed at 65), and the Basic and Standard Plans leave a shrinking or zero bequest the longer a member lives. Against that, CPF LIFE removes longevity risk entirely, is government-guaranteed, carries close to zero distribution cost, and — per the 4% interest-rate floor policy — has recently paid more into members' Retirement Accounts than pure market pricing would imply, with the government topping up the difference.</w:t>
      </w:r>
    </w:p>
    <w:p w14:paraId="01D53D7A" w14:textId="77777777" w:rsidR="00740B59" w:rsidRDefault="00000000">
      <w:pPr>
        <w:spacing w:after="160" w:line="288" w:lineRule="auto"/>
        <w:jc w:val="both"/>
      </w:pPr>
      <w:r>
        <w:rPr>
          <w:color w:val="222222"/>
        </w:rPr>
        <w:t xml:space="preserve">This briefing closes with the reform trajectory most relevant to near-term planning: the January 2025 Special Account closure at 55, the ERS increase to 4x BRS, the CPF Annual Limit and Ordinary Wage ceiling reaching $8,000/month in January 2026, a further senior-worker contribution rate increase from January 2027, a new voluntary low-cost investment scheme from 2028, and the </w:t>
      </w:r>
      <w:proofErr w:type="spellStart"/>
      <w:r>
        <w:rPr>
          <w:color w:val="222222"/>
        </w:rPr>
        <w:t>Majulah</w:t>
      </w:r>
      <w:proofErr w:type="spellEnd"/>
      <w:r>
        <w:rPr>
          <w:color w:val="222222"/>
        </w:rPr>
        <w:t xml:space="preserve"> Package's means-tested top-ups for older, lower-asset Singaporeans.</w:t>
      </w:r>
    </w:p>
    <w:p w14:paraId="6F2D42E7" w14:textId="77777777" w:rsidR="00740B59" w:rsidRDefault="00000000">
      <w:r>
        <w:br w:type="page"/>
      </w:r>
    </w:p>
    <w:p w14:paraId="366C9161" w14:textId="77777777" w:rsidR="00740B59" w:rsidRDefault="00000000">
      <w:pPr>
        <w:pStyle w:val="Heading1"/>
        <w:pBdr>
          <w:bottom w:val="single" w:sz="8" w:space="4" w:color="B8860B"/>
        </w:pBdr>
        <w:spacing w:before="420" w:after="200"/>
      </w:pPr>
      <w:r>
        <w:rPr>
          <w:b/>
          <w:bCs/>
          <w:color w:val="1B2A4A"/>
          <w:sz w:val="30"/>
          <w:szCs w:val="30"/>
        </w:rPr>
        <w:lastRenderedPageBreak/>
        <w:t>1. Fundamentals, History and Statutory Framework</w:t>
      </w:r>
    </w:p>
    <w:p w14:paraId="7E11FAA5" w14:textId="77777777" w:rsidR="00740B59" w:rsidRDefault="00000000">
      <w:pPr>
        <w:pStyle w:val="Heading2"/>
        <w:spacing w:before="280" w:after="140"/>
      </w:pPr>
      <w:r>
        <w:rPr>
          <w:b/>
          <w:bCs/>
          <w:color w:val="0F6E6E"/>
          <w:sz w:val="24"/>
          <w:szCs w:val="24"/>
        </w:rPr>
        <w:t>1.1 Origins of the CPF system</w:t>
      </w:r>
    </w:p>
    <w:p w14:paraId="12C985EE" w14:textId="77777777" w:rsidR="00740B59" w:rsidRDefault="00000000">
      <w:pPr>
        <w:spacing w:after="160" w:line="288" w:lineRule="auto"/>
        <w:jc w:val="both"/>
      </w:pPr>
      <w:r>
        <w:rPr>
          <w:color w:val="222222"/>
        </w:rPr>
        <w:t>The Central Provident Fund was established on 1 July 1955, following a CPF Bill introduced by the Progressive Party in May 1951 and passed by the Legislative Council on 24 November 1953. The CPF Board was constituted in January 1954. From the outset, Singapore chose a compulsory, individually-owned defined-contribution savings model over a pay-as-you-go state pension — a decision that has shaped every subsequent reform, including CPF LIFE.</w:t>
      </w:r>
    </w:p>
    <w:p w14:paraId="5823A3D9" w14:textId="77777777" w:rsidR="00740B59" w:rsidRDefault="00000000">
      <w:pPr>
        <w:pStyle w:val="Heading2"/>
        <w:spacing w:before="280" w:after="140"/>
      </w:pPr>
      <w:r>
        <w:rPr>
          <w:b/>
          <w:bCs/>
          <w:color w:val="0F6E6E"/>
          <w:sz w:val="24"/>
          <w:szCs w:val="24"/>
        </w:rPr>
        <w:t>1.2 Why CPF LIFE was created (2009)</w:t>
      </w:r>
    </w:p>
    <w:p w14:paraId="6A5191FF" w14:textId="77777777" w:rsidR="00740B59" w:rsidRDefault="00000000">
      <w:pPr>
        <w:spacing w:after="160" w:line="288" w:lineRule="auto"/>
        <w:jc w:val="both"/>
      </w:pPr>
      <w:r>
        <w:rPr>
          <w:color w:val="222222"/>
        </w:rPr>
        <w:t>Under the original CPF framework, retirement savings were drawn down through the Retirement Sum Scheme (RSS) — essentially a fixed monthly instalment plan running for roughly 20 years from age 65. The structural weakness was longevity risk: a member who lived past the RSS payout period was left with no further CPF income, precisely at the point in life when self-support is hardest. CPF LIFE was introduced in 2009 as a national longevity insurance annuity to close this gap, converting Retirement Account savings into payouts that continue for as long as the member lives, not a fixed number of years.</w:t>
      </w:r>
    </w:p>
    <w:p w14:paraId="565ADF7E" w14:textId="77777777" w:rsidR="00740B59" w:rsidRDefault="00000000">
      <w:pPr>
        <w:pStyle w:val="Heading2"/>
        <w:spacing w:before="280" w:after="140"/>
      </w:pPr>
      <w:r>
        <w:rPr>
          <w:b/>
          <w:bCs/>
          <w:color w:val="0F6E6E"/>
          <w:sz w:val="24"/>
          <w:szCs w:val="24"/>
        </w:rPr>
        <w:t>1.3 Statutory and administrative framework</w:t>
      </w:r>
    </w:p>
    <w:p w14:paraId="773CC846" w14:textId="77777777" w:rsidR="00740B59" w:rsidRDefault="00000000">
      <w:pPr>
        <w:spacing w:after="160" w:line="288" w:lineRule="auto"/>
        <w:jc w:val="both"/>
      </w:pPr>
      <w:r>
        <w:rPr>
          <w:color w:val="222222"/>
        </w:rPr>
        <w:t>CPF LIFE is administered by the CPF Board under the Central Provident Fund Act, on a non-profit basis — there are no sales commissions or distribution costs, which is one reason its payout rates compare favourably with commercial annuities (see Section 6). Funds are pooled into what CPF calls the Lifelong Income Fund; the mechanics of that pooling are covered in Section 5.</w:t>
      </w:r>
    </w:p>
    <w:p w14:paraId="71DC2E05" w14:textId="77777777" w:rsidR="00740B59" w:rsidRDefault="00000000">
      <w:pPr>
        <w:pStyle w:val="Heading2"/>
        <w:spacing w:before="280" w:after="140"/>
      </w:pPr>
      <w:r>
        <w:rPr>
          <w:b/>
          <w:bCs/>
          <w:color w:val="0F6E6E"/>
          <w:sz w:val="24"/>
          <w:szCs w:val="24"/>
        </w:rPr>
        <w:t>1.4 Eligibility and automatic enrolment</w:t>
      </w:r>
    </w:p>
    <w:p w14:paraId="26DE7B1E" w14:textId="77777777" w:rsidR="00740B59" w:rsidRDefault="00000000">
      <w:pPr>
        <w:pStyle w:val="ListParagraph"/>
        <w:numPr>
          <w:ilvl w:val="0"/>
          <w:numId w:val="2"/>
        </w:numPr>
        <w:spacing w:after="90" w:line="276" w:lineRule="auto"/>
      </w:pPr>
      <w:r>
        <w:rPr>
          <w:color w:val="222222"/>
        </w:rPr>
        <w:t>Automatic inclusion: Singapore Citizens and Permanent Residents born in 1958 or later are automatically placed on CPF LIFE if they have at least $60,000 in retirement savings when they begin monthly payouts.</w:t>
      </w:r>
    </w:p>
    <w:p w14:paraId="4025E6C5" w14:textId="77777777" w:rsidR="00740B59" w:rsidRDefault="00000000">
      <w:pPr>
        <w:pStyle w:val="ListParagraph"/>
        <w:numPr>
          <w:ilvl w:val="0"/>
          <w:numId w:val="2"/>
        </w:numPr>
        <w:spacing w:after="90" w:line="276" w:lineRule="auto"/>
      </w:pPr>
      <w:r>
        <w:rPr>
          <w:color w:val="222222"/>
        </w:rPr>
        <w:t>Voluntary joining: members below the $60,000 threshold, or otherwise not automatically included, may still opt in from age 65 up to one month before turning 80, regardless of balance.</w:t>
      </w:r>
    </w:p>
    <w:p w14:paraId="0912E83D" w14:textId="77777777" w:rsidR="00740B59" w:rsidRDefault="00000000">
      <w:pPr>
        <w:pStyle w:val="ListParagraph"/>
        <w:numPr>
          <w:ilvl w:val="0"/>
          <w:numId w:val="2"/>
        </w:numPr>
        <w:spacing w:after="90" w:line="276" w:lineRule="auto"/>
      </w:pPr>
      <w:r>
        <w:rPr>
          <w:color w:val="222222"/>
        </w:rPr>
        <w:t>Opt-out: members can decline CPF LIFE only if they can demonstrate equivalent or superior lifelong income from another source (for example, an existing pension or annuity), reflecting the policy intent that every retiree has some form of longevity-protected income.</w:t>
      </w:r>
    </w:p>
    <w:p w14:paraId="35642961" w14:textId="77777777" w:rsidR="00740B59" w:rsidRDefault="00000000">
      <w:pPr>
        <w:pStyle w:val="ListParagraph"/>
        <w:numPr>
          <w:ilvl w:val="0"/>
          <w:numId w:val="2"/>
        </w:numPr>
        <w:spacing w:after="90" w:line="276" w:lineRule="auto"/>
      </w:pPr>
      <w:r>
        <w:rPr>
          <w:color w:val="222222"/>
        </w:rPr>
        <w:t>Plan election: members must select a payout plan (Standard, Basic or Escalating) as they approach payout age; those who do not choose default to the Standard Plan.</w:t>
      </w:r>
    </w:p>
    <w:p w14:paraId="5E943113" w14:textId="77777777" w:rsidR="00740B59" w:rsidRDefault="00000000">
      <w:pPr>
        <w:spacing w:after="260"/>
      </w:pPr>
      <w:r>
        <w:rPr>
          <w:i/>
          <w:iCs/>
          <w:color w:val="5B5F66"/>
          <w:sz w:val="17"/>
          <w:szCs w:val="17"/>
        </w:rPr>
        <w:t xml:space="preserve">Source: CPF Board, "Who can join CPF LIFE?" and "Receive lifelong monthly payouts with CPF LIFE" (cpf.gov.sg); </w:t>
      </w:r>
      <w:proofErr w:type="spellStart"/>
      <w:r>
        <w:rPr>
          <w:i/>
          <w:iCs/>
          <w:color w:val="5B5F66"/>
          <w:sz w:val="17"/>
          <w:szCs w:val="17"/>
        </w:rPr>
        <w:t>BiblioAsia</w:t>
      </w:r>
      <w:proofErr w:type="spellEnd"/>
      <w:r>
        <w:rPr>
          <w:i/>
          <w:iCs/>
          <w:color w:val="5B5F66"/>
          <w:sz w:val="17"/>
          <w:szCs w:val="17"/>
        </w:rPr>
        <w:t xml:space="preserve"> / National Library Board, "How the CPF Scheme Came to Be" (Jan–Mar 2025).</w:t>
      </w:r>
    </w:p>
    <w:p w14:paraId="762B80A3" w14:textId="77777777" w:rsidR="00740B59" w:rsidRDefault="00000000">
      <w:r>
        <w:br w:type="page"/>
      </w:r>
    </w:p>
    <w:p w14:paraId="7DF2EC24" w14:textId="77777777" w:rsidR="00740B59" w:rsidRDefault="00000000">
      <w:pPr>
        <w:pStyle w:val="Heading1"/>
        <w:pBdr>
          <w:bottom w:val="single" w:sz="8" w:space="4" w:color="B8860B"/>
        </w:pBdr>
        <w:spacing w:before="420" w:after="200"/>
      </w:pPr>
      <w:r>
        <w:rPr>
          <w:b/>
          <w:bCs/>
          <w:color w:val="1B2A4A"/>
          <w:sz w:val="30"/>
          <w:szCs w:val="30"/>
        </w:rPr>
        <w:lastRenderedPageBreak/>
        <w:t>2. Retirement Sum Tiers and Contribution Limits</w:t>
      </w:r>
    </w:p>
    <w:p w14:paraId="6B5A15BD" w14:textId="77777777" w:rsidR="00740B59" w:rsidRDefault="00000000">
      <w:pPr>
        <w:pStyle w:val="Heading2"/>
        <w:spacing w:before="280" w:after="140"/>
      </w:pPr>
      <w:r>
        <w:rPr>
          <w:b/>
          <w:bCs/>
          <w:color w:val="0F6E6E"/>
          <w:sz w:val="24"/>
          <w:szCs w:val="24"/>
        </w:rPr>
        <w:t>2.1 The three retirement sums</w:t>
      </w:r>
    </w:p>
    <w:p w14:paraId="7A00ECD1" w14:textId="77777777" w:rsidR="00740B59" w:rsidRDefault="00000000">
      <w:pPr>
        <w:spacing w:after="160" w:line="288" w:lineRule="auto"/>
        <w:jc w:val="both"/>
      </w:pPr>
      <w:r>
        <w:rPr>
          <w:color w:val="222222"/>
        </w:rPr>
        <w:t>At age 55, a member's Special Account (and, since January 2025, remaining Ordinary Account savings if elected) are swept into a newly-created Retirement Account, which is topped up to a target level — the retirement sum. Three tiers exist, in a fixed 1 : 2 : 4 ratio:</w:t>
      </w:r>
    </w:p>
    <w:p w14:paraId="108A0331" w14:textId="77777777" w:rsidR="00740B59" w:rsidRDefault="00000000">
      <w:pPr>
        <w:pStyle w:val="ListParagraph"/>
        <w:numPr>
          <w:ilvl w:val="0"/>
          <w:numId w:val="2"/>
        </w:numPr>
        <w:spacing w:after="90" w:line="276" w:lineRule="auto"/>
      </w:pPr>
      <w:r>
        <w:rPr>
          <w:b/>
          <w:bCs/>
        </w:rPr>
        <w:t xml:space="preserve">Basic Retirement Sum (BRS): </w:t>
      </w:r>
      <w:r>
        <w:t>the minimum tier, available to members who pledge a Singapore property with a remaining lease to at least age 95 — the property stands in as partial security for retirement, so less cash needs to be set aside.</w:t>
      </w:r>
    </w:p>
    <w:p w14:paraId="19A92C9F" w14:textId="77777777" w:rsidR="00740B59" w:rsidRDefault="00000000">
      <w:pPr>
        <w:pStyle w:val="ListParagraph"/>
        <w:numPr>
          <w:ilvl w:val="0"/>
          <w:numId w:val="2"/>
        </w:numPr>
        <w:spacing w:after="90" w:line="276" w:lineRule="auto"/>
      </w:pPr>
      <w:r>
        <w:rPr>
          <w:b/>
          <w:bCs/>
        </w:rPr>
        <w:t xml:space="preserve">Full Retirement Sum (FRS): </w:t>
      </w:r>
      <w:r>
        <w:t>double the BRS; the default target for members who do not pledge property, and the amount most commonly used to illustrate payouts.</w:t>
      </w:r>
    </w:p>
    <w:p w14:paraId="0A217D9F" w14:textId="77777777" w:rsidR="00740B59" w:rsidRDefault="00000000">
      <w:pPr>
        <w:pStyle w:val="ListParagraph"/>
        <w:numPr>
          <w:ilvl w:val="0"/>
          <w:numId w:val="2"/>
        </w:numPr>
        <w:spacing w:after="90" w:line="276" w:lineRule="auto"/>
      </w:pPr>
      <w:r>
        <w:rPr>
          <w:b/>
          <w:bCs/>
        </w:rPr>
        <w:t xml:space="preserve">Enhanced Retirement Sum (ERS): </w:t>
      </w:r>
      <w:r>
        <w:t>an optional, voluntary ceiling for members who wish to top up further for higher payouts — set at four times BRS since the January 2025 reform (previously three times).</w:t>
      </w:r>
    </w:p>
    <w:p w14:paraId="41DCF688" w14:textId="77777777" w:rsidR="00740B59" w:rsidRDefault="00000000">
      <w:pPr>
        <w:spacing w:before="200" w:after="100"/>
      </w:pPr>
      <w:r>
        <w:rPr>
          <w:b/>
          <w:bCs/>
          <w:color w:val="1B2A4A"/>
        </w:rPr>
        <w:t>Table 2.1 — Retirement sums by cohort year, S$ (BRS : FRS : ERS ratio 1 : 2 : 4 from 2025)</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2000"/>
        <w:gridCol w:w="2000"/>
      </w:tblGrid>
      <w:tr w:rsidR="00740B59" w14:paraId="1F571D9F" w14:textId="77777777">
        <w:tblPrEx>
          <w:tblCellMar>
            <w:top w:w="0" w:type="dxa"/>
            <w:bottom w:w="0" w:type="dxa"/>
          </w:tblCellMar>
        </w:tblPrEx>
        <w:trPr>
          <w:tblHeader/>
        </w:trPr>
        <w:tc>
          <w:tcPr>
            <w:tcW w:w="2600" w:type="dxa"/>
            <w:shd w:val="clear" w:color="auto" w:fill="1B2A4A"/>
            <w:tcMar>
              <w:top w:w="80" w:type="dxa"/>
              <w:left w:w="110" w:type="dxa"/>
              <w:bottom w:w="80" w:type="dxa"/>
              <w:right w:w="110" w:type="dxa"/>
            </w:tcMar>
            <w:vAlign w:val="center"/>
          </w:tcPr>
          <w:p w14:paraId="54EA9AF8" w14:textId="77777777" w:rsidR="00740B59" w:rsidRDefault="00000000">
            <w:pPr>
              <w:jc w:val="center"/>
            </w:pPr>
            <w:r>
              <w:rPr>
                <w:b/>
                <w:bCs/>
                <w:color w:val="FFFFFF"/>
                <w:sz w:val="19"/>
                <w:szCs w:val="19"/>
              </w:rPr>
              <w:t>Year turning 55</w:t>
            </w:r>
          </w:p>
        </w:tc>
        <w:tc>
          <w:tcPr>
            <w:tcW w:w="2000" w:type="dxa"/>
            <w:shd w:val="clear" w:color="auto" w:fill="1B2A4A"/>
            <w:tcMar>
              <w:top w:w="80" w:type="dxa"/>
              <w:left w:w="110" w:type="dxa"/>
              <w:bottom w:w="80" w:type="dxa"/>
              <w:right w:w="110" w:type="dxa"/>
            </w:tcMar>
            <w:vAlign w:val="center"/>
          </w:tcPr>
          <w:p w14:paraId="4747F495" w14:textId="77777777" w:rsidR="00740B59" w:rsidRDefault="00000000">
            <w:pPr>
              <w:jc w:val="center"/>
            </w:pPr>
            <w:r>
              <w:rPr>
                <w:b/>
                <w:bCs/>
                <w:color w:val="FFFFFF"/>
                <w:sz w:val="19"/>
                <w:szCs w:val="19"/>
              </w:rPr>
              <w:t>BRS</w:t>
            </w:r>
          </w:p>
        </w:tc>
        <w:tc>
          <w:tcPr>
            <w:tcW w:w="2000" w:type="dxa"/>
            <w:shd w:val="clear" w:color="auto" w:fill="1B2A4A"/>
            <w:tcMar>
              <w:top w:w="80" w:type="dxa"/>
              <w:left w:w="110" w:type="dxa"/>
              <w:bottom w:w="80" w:type="dxa"/>
              <w:right w:w="110" w:type="dxa"/>
            </w:tcMar>
            <w:vAlign w:val="center"/>
          </w:tcPr>
          <w:p w14:paraId="2E7EE5D3" w14:textId="77777777" w:rsidR="00740B59" w:rsidRDefault="00000000">
            <w:pPr>
              <w:jc w:val="center"/>
            </w:pPr>
            <w:r>
              <w:rPr>
                <w:b/>
                <w:bCs/>
                <w:color w:val="FFFFFF"/>
                <w:sz w:val="19"/>
                <w:szCs w:val="19"/>
              </w:rPr>
              <w:t>FRS</w:t>
            </w:r>
          </w:p>
        </w:tc>
        <w:tc>
          <w:tcPr>
            <w:tcW w:w="2000" w:type="dxa"/>
            <w:shd w:val="clear" w:color="auto" w:fill="1B2A4A"/>
            <w:tcMar>
              <w:top w:w="80" w:type="dxa"/>
              <w:left w:w="110" w:type="dxa"/>
              <w:bottom w:w="80" w:type="dxa"/>
              <w:right w:w="110" w:type="dxa"/>
            </w:tcMar>
            <w:vAlign w:val="center"/>
          </w:tcPr>
          <w:p w14:paraId="5543A67E" w14:textId="77777777" w:rsidR="00740B59" w:rsidRDefault="00000000">
            <w:pPr>
              <w:jc w:val="center"/>
            </w:pPr>
            <w:r>
              <w:rPr>
                <w:b/>
                <w:bCs/>
                <w:color w:val="FFFFFF"/>
                <w:sz w:val="19"/>
                <w:szCs w:val="19"/>
              </w:rPr>
              <w:t>ERS</w:t>
            </w:r>
          </w:p>
        </w:tc>
      </w:tr>
      <w:tr w:rsidR="00740B59" w14:paraId="345FCF3E" w14:textId="77777777">
        <w:tblPrEx>
          <w:tblCellMar>
            <w:top w:w="0" w:type="dxa"/>
            <w:bottom w:w="0" w:type="dxa"/>
          </w:tblCellMar>
        </w:tblPrEx>
        <w:tc>
          <w:tcPr>
            <w:tcW w:w="2600" w:type="dxa"/>
            <w:shd w:val="clear" w:color="auto" w:fill="FFFFFF"/>
            <w:tcMar>
              <w:top w:w="80" w:type="dxa"/>
              <w:left w:w="110" w:type="dxa"/>
              <w:bottom w:w="80" w:type="dxa"/>
              <w:right w:w="110" w:type="dxa"/>
            </w:tcMar>
            <w:vAlign w:val="center"/>
          </w:tcPr>
          <w:p w14:paraId="6C181B2D" w14:textId="77777777" w:rsidR="00740B59" w:rsidRDefault="00000000">
            <w:r>
              <w:rPr>
                <w:color w:val="222222"/>
                <w:sz w:val="19"/>
                <w:szCs w:val="19"/>
              </w:rPr>
              <w:t>2016</w:t>
            </w:r>
          </w:p>
        </w:tc>
        <w:tc>
          <w:tcPr>
            <w:tcW w:w="2000" w:type="dxa"/>
            <w:shd w:val="clear" w:color="auto" w:fill="FFFFFF"/>
            <w:tcMar>
              <w:top w:w="80" w:type="dxa"/>
              <w:left w:w="110" w:type="dxa"/>
              <w:bottom w:w="80" w:type="dxa"/>
              <w:right w:w="110" w:type="dxa"/>
            </w:tcMar>
            <w:vAlign w:val="center"/>
          </w:tcPr>
          <w:p w14:paraId="73D772F3" w14:textId="77777777" w:rsidR="00740B59" w:rsidRDefault="00000000">
            <w:pPr>
              <w:jc w:val="center"/>
            </w:pPr>
            <w:r>
              <w:rPr>
                <w:color w:val="222222"/>
                <w:sz w:val="19"/>
                <w:szCs w:val="19"/>
              </w:rPr>
              <w:t>80,500</w:t>
            </w:r>
          </w:p>
        </w:tc>
        <w:tc>
          <w:tcPr>
            <w:tcW w:w="2000" w:type="dxa"/>
            <w:shd w:val="clear" w:color="auto" w:fill="FFFFFF"/>
            <w:tcMar>
              <w:top w:w="80" w:type="dxa"/>
              <w:left w:w="110" w:type="dxa"/>
              <w:bottom w:w="80" w:type="dxa"/>
              <w:right w:w="110" w:type="dxa"/>
            </w:tcMar>
            <w:vAlign w:val="center"/>
          </w:tcPr>
          <w:p w14:paraId="2B61B9CF" w14:textId="77777777" w:rsidR="00740B59" w:rsidRDefault="00000000">
            <w:pPr>
              <w:jc w:val="center"/>
            </w:pPr>
            <w:r>
              <w:rPr>
                <w:color w:val="222222"/>
                <w:sz w:val="19"/>
                <w:szCs w:val="19"/>
              </w:rPr>
              <w:t>161,000</w:t>
            </w:r>
          </w:p>
        </w:tc>
        <w:tc>
          <w:tcPr>
            <w:tcW w:w="2000" w:type="dxa"/>
            <w:shd w:val="clear" w:color="auto" w:fill="FFFFFF"/>
            <w:tcMar>
              <w:top w:w="80" w:type="dxa"/>
              <w:left w:w="110" w:type="dxa"/>
              <w:bottom w:w="80" w:type="dxa"/>
              <w:right w:w="110" w:type="dxa"/>
            </w:tcMar>
            <w:vAlign w:val="center"/>
          </w:tcPr>
          <w:p w14:paraId="5F21F278" w14:textId="77777777" w:rsidR="00740B59" w:rsidRDefault="00000000">
            <w:pPr>
              <w:jc w:val="center"/>
            </w:pPr>
            <w:r>
              <w:rPr>
                <w:color w:val="222222"/>
                <w:sz w:val="19"/>
                <w:szCs w:val="19"/>
              </w:rPr>
              <w:t>—</w:t>
            </w:r>
          </w:p>
        </w:tc>
      </w:tr>
      <w:tr w:rsidR="00740B59" w14:paraId="2350D807" w14:textId="77777777">
        <w:tblPrEx>
          <w:tblCellMar>
            <w:top w:w="0" w:type="dxa"/>
            <w:bottom w:w="0" w:type="dxa"/>
          </w:tblCellMar>
        </w:tblPrEx>
        <w:tc>
          <w:tcPr>
            <w:tcW w:w="2600" w:type="dxa"/>
            <w:shd w:val="clear" w:color="auto" w:fill="F2F2F2"/>
            <w:tcMar>
              <w:top w:w="80" w:type="dxa"/>
              <w:left w:w="110" w:type="dxa"/>
              <w:bottom w:w="80" w:type="dxa"/>
              <w:right w:w="110" w:type="dxa"/>
            </w:tcMar>
            <w:vAlign w:val="center"/>
          </w:tcPr>
          <w:p w14:paraId="5A9E5BB5" w14:textId="77777777" w:rsidR="00740B59" w:rsidRDefault="00000000">
            <w:r>
              <w:rPr>
                <w:color w:val="222222"/>
                <w:sz w:val="19"/>
                <w:szCs w:val="19"/>
              </w:rPr>
              <w:t>2017</w:t>
            </w:r>
          </w:p>
        </w:tc>
        <w:tc>
          <w:tcPr>
            <w:tcW w:w="2000" w:type="dxa"/>
            <w:shd w:val="clear" w:color="auto" w:fill="F2F2F2"/>
            <w:tcMar>
              <w:top w:w="80" w:type="dxa"/>
              <w:left w:w="110" w:type="dxa"/>
              <w:bottom w:w="80" w:type="dxa"/>
              <w:right w:w="110" w:type="dxa"/>
            </w:tcMar>
            <w:vAlign w:val="center"/>
          </w:tcPr>
          <w:p w14:paraId="083114F6" w14:textId="77777777" w:rsidR="00740B59" w:rsidRDefault="00000000">
            <w:pPr>
              <w:jc w:val="center"/>
            </w:pPr>
            <w:r>
              <w:rPr>
                <w:color w:val="222222"/>
                <w:sz w:val="19"/>
                <w:szCs w:val="19"/>
              </w:rPr>
              <w:t>83,000</w:t>
            </w:r>
          </w:p>
        </w:tc>
        <w:tc>
          <w:tcPr>
            <w:tcW w:w="2000" w:type="dxa"/>
            <w:shd w:val="clear" w:color="auto" w:fill="F2F2F2"/>
            <w:tcMar>
              <w:top w:w="80" w:type="dxa"/>
              <w:left w:w="110" w:type="dxa"/>
              <w:bottom w:w="80" w:type="dxa"/>
              <w:right w:w="110" w:type="dxa"/>
            </w:tcMar>
            <w:vAlign w:val="center"/>
          </w:tcPr>
          <w:p w14:paraId="5DFDCB8D" w14:textId="77777777" w:rsidR="00740B59" w:rsidRDefault="00000000">
            <w:pPr>
              <w:jc w:val="center"/>
            </w:pPr>
            <w:r>
              <w:rPr>
                <w:color w:val="222222"/>
                <w:sz w:val="19"/>
                <w:szCs w:val="19"/>
              </w:rPr>
              <w:t>166,000</w:t>
            </w:r>
          </w:p>
        </w:tc>
        <w:tc>
          <w:tcPr>
            <w:tcW w:w="2000" w:type="dxa"/>
            <w:shd w:val="clear" w:color="auto" w:fill="F2F2F2"/>
            <w:tcMar>
              <w:top w:w="80" w:type="dxa"/>
              <w:left w:w="110" w:type="dxa"/>
              <w:bottom w:w="80" w:type="dxa"/>
              <w:right w:w="110" w:type="dxa"/>
            </w:tcMar>
            <w:vAlign w:val="center"/>
          </w:tcPr>
          <w:p w14:paraId="6C76C42D" w14:textId="77777777" w:rsidR="00740B59" w:rsidRDefault="00000000">
            <w:pPr>
              <w:jc w:val="center"/>
            </w:pPr>
            <w:r>
              <w:rPr>
                <w:color w:val="222222"/>
                <w:sz w:val="19"/>
                <w:szCs w:val="19"/>
              </w:rPr>
              <w:t>—</w:t>
            </w:r>
          </w:p>
        </w:tc>
      </w:tr>
      <w:tr w:rsidR="00740B59" w14:paraId="137A6008" w14:textId="77777777">
        <w:tblPrEx>
          <w:tblCellMar>
            <w:top w:w="0" w:type="dxa"/>
            <w:bottom w:w="0" w:type="dxa"/>
          </w:tblCellMar>
        </w:tblPrEx>
        <w:tc>
          <w:tcPr>
            <w:tcW w:w="2600" w:type="dxa"/>
            <w:shd w:val="clear" w:color="auto" w:fill="FFFFFF"/>
            <w:tcMar>
              <w:top w:w="80" w:type="dxa"/>
              <w:left w:w="110" w:type="dxa"/>
              <w:bottom w:w="80" w:type="dxa"/>
              <w:right w:w="110" w:type="dxa"/>
            </w:tcMar>
            <w:vAlign w:val="center"/>
          </w:tcPr>
          <w:p w14:paraId="6F7C4AC0" w14:textId="77777777" w:rsidR="00740B59" w:rsidRDefault="00000000">
            <w:r>
              <w:rPr>
                <w:color w:val="222222"/>
                <w:sz w:val="19"/>
                <w:szCs w:val="19"/>
              </w:rPr>
              <w:t>2018</w:t>
            </w:r>
          </w:p>
        </w:tc>
        <w:tc>
          <w:tcPr>
            <w:tcW w:w="2000" w:type="dxa"/>
            <w:shd w:val="clear" w:color="auto" w:fill="FFFFFF"/>
            <w:tcMar>
              <w:top w:w="80" w:type="dxa"/>
              <w:left w:w="110" w:type="dxa"/>
              <w:bottom w:w="80" w:type="dxa"/>
              <w:right w:w="110" w:type="dxa"/>
            </w:tcMar>
            <w:vAlign w:val="center"/>
          </w:tcPr>
          <w:p w14:paraId="0E4C8929" w14:textId="77777777" w:rsidR="00740B59" w:rsidRDefault="00000000">
            <w:pPr>
              <w:jc w:val="center"/>
            </w:pPr>
            <w:r>
              <w:rPr>
                <w:color w:val="222222"/>
                <w:sz w:val="19"/>
                <w:szCs w:val="19"/>
              </w:rPr>
              <w:t>85,500</w:t>
            </w:r>
          </w:p>
        </w:tc>
        <w:tc>
          <w:tcPr>
            <w:tcW w:w="2000" w:type="dxa"/>
            <w:shd w:val="clear" w:color="auto" w:fill="FFFFFF"/>
            <w:tcMar>
              <w:top w:w="80" w:type="dxa"/>
              <w:left w:w="110" w:type="dxa"/>
              <w:bottom w:w="80" w:type="dxa"/>
              <w:right w:w="110" w:type="dxa"/>
            </w:tcMar>
            <w:vAlign w:val="center"/>
          </w:tcPr>
          <w:p w14:paraId="2936A278" w14:textId="77777777" w:rsidR="00740B59" w:rsidRDefault="00000000">
            <w:pPr>
              <w:jc w:val="center"/>
            </w:pPr>
            <w:r>
              <w:rPr>
                <w:color w:val="222222"/>
                <w:sz w:val="19"/>
                <w:szCs w:val="19"/>
              </w:rPr>
              <w:t>171,000</w:t>
            </w:r>
          </w:p>
        </w:tc>
        <w:tc>
          <w:tcPr>
            <w:tcW w:w="2000" w:type="dxa"/>
            <w:shd w:val="clear" w:color="auto" w:fill="FFFFFF"/>
            <w:tcMar>
              <w:top w:w="80" w:type="dxa"/>
              <w:left w:w="110" w:type="dxa"/>
              <w:bottom w:w="80" w:type="dxa"/>
              <w:right w:w="110" w:type="dxa"/>
            </w:tcMar>
            <w:vAlign w:val="center"/>
          </w:tcPr>
          <w:p w14:paraId="30038E64" w14:textId="77777777" w:rsidR="00740B59" w:rsidRDefault="00000000">
            <w:pPr>
              <w:jc w:val="center"/>
            </w:pPr>
            <w:r>
              <w:rPr>
                <w:color w:val="222222"/>
                <w:sz w:val="19"/>
                <w:szCs w:val="19"/>
              </w:rPr>
              <w:t>—</w:t>
            </w:r>
          </w:p>
        </w:tc>
      </w:tr>
      <w:tr w:rsidR="00740B59" w14:paraId="6CA5560B" w14:textId="77777777">
        <w:tblPrEx>
          <w:tblCellMar>
            <w:top w:w="0" w:type="dxa"/>
            <w:bottom w:w="0" w:type="dxa"/>
          </w:tblCellMar>
        </w:tblPrEx>
        <w:tc>
          <w:tcPr>
            <w:tcW w:w="2600" w:type="dxa"/>
            <w:shd w:val="clear" w:color="auto" w:fill="F2F2F2"/>
            <w:tcMar>
              <w:top w:w="80" w:type="dxa"/>
              <w:left w:w="110" w:type="dxa"/>
              <w:bottom w:w="80" w:type="dxa"/>
              <w:right w:w="110" w:type="dxa"/>
            </w:tcMar>
            <w:vAlign w:val="center"/>
          </w:tcPr>
          <w:p w14:paraId="58C2D43E" w14:textId="77777777" w:rsidR="00740B59" w:rsidRDefault="00000000">
            <w:r>
              <w:rPr>
                <w:color w:val="222222"/>
                <w:sz w:val="19"/>
                <w:szCs w:val="19"/>
              </w:rPr>
              <w:t>2019</w:t>
            </w:r>
          </w:p>
        </w:tc>
        <w:tc>
          <w:tcPr>
            <w:tcW w:w="2000" w:type="dxa"/>
            <w:shd w:val="clear" w:color="auto" w:fill="F2F2F2"/>
            <w:tcMar>
              <w:top w:w="80" w:type="dxa"/>
              <w:left w:w="110" w:type="dxa"/>
              <w:bottom w:w="80" w:type="dxa"/>
              <w:right w:w="110" w:type="dxa"/>
            </w:tcMar>
            <w:vAlign w:val="center"/>
          </w:tcPr>
          <w:p w14:paraId="45553759" w14:textId="77777777" w:rsidR="00740B59" w:rsidRDefault="00000000">
            <w:pPr>
              <w:jc w:val="center"/>
            </w:pPr>
            <w:r>
              <w:rPr>
                <w:color w:val="222222"/>
                <w:sz w:val="19"/>
                <w:szCs w:val="19"/>
              </w:rPr>
              <w:t>88,000</w:t>
            </w:r>
          </w:p>
        </w:tc>
        <w:tc>
          <w:tcPr>
            <w:tcW w:w="2000" w:type="dxa"/>
            <w:shd w:val="clear" w:color="auto" w:fill="F2F2F2"/>
            <w:tcMar>
              <w:top w:w="80" w:type="dxa"/>
              <w:left w:w="110" w:type="dxa"/>
              <w:bottom w:w="80" w:type="dxa"/>
              <w:right w:w="110" w:type="dxa"/>
            </w:tcMar>
            <w:vAlign w:val="center"/>
          </w:tcPr>
          <w:p w14:paraId="71392F97" w14:textId="77777777" w:rsidR="00740B59" w:rsidRDefault="00000000">
            <w:pPr>
              <w:jc w:val="center"/>
            </w:pPr>
            <w:r>
              <w:rPr>
                <w:color w:val="222222"/>
                <w:sz w:val="19"/>
                <w:szCs w:val="19"/>
              </w:rPr>
              <w:t>176,000</w:t>
            </w:r>
          </w:p>
        </w:tc>
        <w:tc>
          <w:tcPr>
            <w:tcW w:w="2000" w:type="dxa"/>
            <w:shd w:val="clear" w:color="auto" w:fill="F2F2F2"/>
            <w:tcMar>
              <w:top w:w="80" w:type="dxa"/>
              <w:left w:w="110" w:type="dxa"/>
              <w:bottom w:w="80" w:type="dxa"/>
              <w:right w:w="110" w:type="dxa"/>
            </w:tcMar>
            <w:vAlign w:val="center"/>
          </w:tcPr>
          <w:p w14:paraId="39E3A107" w14:textId="77777777" w:rsidR="00740B59" w:rsidRDefault="00000000">
            <w:pPr>
              <w:jc w:val="center"/>
            </w:pPr>
            <w:r>
              <w:rPr>
                <w:color w:val="222222"/>
                <w:sz w:val="19"/>
                <w:szCs w:val="19"/>
              </w:rPr>
              <w:t>—</w:t>
            </w:r>
          </w:p>
        </w:tc>
      </w:tr>
      <w:tr w:rsidR="00740B59" w14:paraId="7EF66962" w14:textId="77777777">
        <w:tblPrEx>
          <w:tblCellMar>
            <w:top w:w="0" w:type="dxa"/>
            <w:bottom w:w="0" w:type="dxa"/>
          </w:tblCellMar>
        </w:tblPrEx>
        <w:tc>
          <w:tcPr>
            <w:tcW w:w="2600" w:type="dxa"/>
            <w:shd w:val="clear" w:color="auto" w:fill="FFFFFF"/>
            <w:tcMar>
              <w:top w:w="80" w:type="dxa"/>
              <w:left w:w="110" w:type="dxa"/>
              <w:bottom w:w="80" w:type="dxa"/>
              <w:right w:w="110" w:type="dxa"/>
            </w:tcMar>
            <w:vAlign w:val="center"/>
          </w:tcPr>
          <w:p w14:paraId="1DE2CF4C" w14:textId="77777777" w:rsidR="00740B59" w:rsidRDefault="00000000">
            <w:r>
              <w:rPr>
                <w:color w:val="222222"/>
                <w:sz w:val="19"/>
                <w:szCs w:val="19"/>
              </w:rPr>
              <w:t>2020</w:t>
            </w:r>
          </w:p>
        </w:tc>
        <w:tc>
          <w:tcPr>
            <w:tcW w:w="2000" w:type="dxa"/>
            <w:shd w:val="clear" w:color="auto" w:fill="FFFFFF"/>
            <w:tcMar>
              <w:top w:w="80" w:type="dxa"/>
              <w:left w:w="110" w:type="dxa"/>
              <w:bottom w:w="80" w:type="dxa"/>
              <w:right w:w="110" w:type="dxa"/>
            </w:tcMar>
            <w:vAlign w:val="center"/>
          </w:tcPr>
          <w:p w14:paraId="21374E49" w14:textId="77777777" w:rsidR="00740B59" w:rsidRDefault="00000000">
            <w:pPr>
              <w:jc w:val="center"/>
            </w:pPr>
            <w:r>
              <w:rPr>
                <w:color w:val="222222"/>
                <w:sz w:val="19"/>
                <w:szCs w:val="19"/>
              </w:rPr>
              <w:t>90,500</w:t>
            </w:r>
          </w:p>
        </w:tc>
        <w:tc>
          <w:tcPr>
            <w:tcW w:w="2000" w:type="dxa"/>
            <w:shd w:val="clear" w:color="auto" w:fill="FFFFFF"/>
            <w:tcMar>
              <w:top w:w="80" w:type="dxa"/>
              <w:left w:w="110" w:type="dxa"/>
              <w:bottom w:w="80" w:type="dxa"/>
              <w:right w:w="110" w:type="dxa"/>
            </w:tcMar>
            <w:vAlign w:val="center"/>
          </w:tcPr>
          <w:p w14:paraId="61C2F86C" w14:textId="77777777" w:rsidR="00740B59" w:rsidRDefault="00000000">
            <w:pPr>
              <w:jc w:val="center"/>
            </w:pPr>
            <w:r>
              <w:rPr>
                <w:color w:val="222222"/>
                <w:sz w:val="19"/>
                <w:szCs w:val="19"/>
              </w:rPr>
              <w:t>181,000</w:t>
            </w:r>
          </w:p>
        </w:tc>
        <w:tc>
          <w:tcPr>
            <w:tcW w:w="2000" w:type="dxa"/>
            <w:shd w:val="clear" w:color="auto" w:fill="FFFFFF"/>
            <w:tcMar>
              <w:top w:w="80" w:type="dxa"/>
              <w:left w:w="110" w:type="dxa"/>
              <w:bottom w:w="80" w:type="dxa"/>
              <w:right w:w="110" w:type="dxa"/>
            </w:tcMar>
            <w:vAlign w:val="center"/>
          </w:tcPr>
          <w:p w14:paraId="0FC12007" w14:textId="77777777" w:rsidR="00740B59" w:rsidRDefault="00000000">
            <w:pPr>
              <w:jc w:val="center"/>
            </w:pPr>
            <w:r>
              <w:rPr>
                <w:color w:val="222222"/>
                <w:sz w:val="19"/>
                <w:szCs w:val="19"/>
              </w:rPr>
              <w:t>—</w:t>
            </w:r>
          </w:p>
        </w:tc>
      </w:tr>
      <w:tr w:rsidR="00740B59" w14:paraId="3B978124" w14:textId="77777777">
        <w:tblPrEx>
          <w:tblCellMar>
            <w:top w:w="0" w:type="dxa"/>
            <w:bottom w:w="0" w:type="dxa"/>
          </w:tblCellMar>
        </w:tblPrEx>
        <w:tc>
          <w:tcPr>
            <w:tcW w:w="2600" w:type="dxa"/>
            <w:shd w:val="clear" w:color="auto" w:fill="F2F2F2"/>
            <w:tcMar>
              <w:top w:w="80" w:type="dxa"/>
              <w:left w:w="110" w:type="dxa"/>
              <w:bottom w:w="80" w:type="dxa"/>
              <w:right w:w="110" w:type="dxa"/>
            </w:tcMar>
            <w:vAlign w:val="center"/>
          </w:tcPr>
          <w:p w14:paraId="4E35C152" w14:textId="77777777" w:rsidR="00740B59" w:rsidRDefault="00000000">
            <w:r>
              <w:rPr>
                <w:color w:val="222222"/>
                <w:sz w:val="19"/>
                <w:szCs w:val="19"/>
              </w:rPr>
              <w:t>2021</w:t>
            </w:r>
          </w:p>
        </w:tc>
        <w:tc>
          <w:tcPr>
            <w:tcW w:w="2000" w:type="dxa"/>
            <w:shd w:val="clear" w:color="auto" w:fill="F2F2F2"/>
            <w:tcMar>
              <w:top w:w="80" w:type="dxa"/>
              <w:left w:w="110" w:type="dxa"/>
              <w:bottom w:w="80" w:type="dxa"/>
              <w:right w:w="110" w:type="dxa"/>
            </w:tcMar>
            <w:vAlign w:val="center"/>
          </w:tcPr>
          <w:p w14:paraId="7F465634" w14:textId="77777777" w:rsidR="00740B59" w:rsidRDefault="00000000">
            <w:pPr>
              <w:jc w:val="center"/>
            </w:pPr>
            <w:r>
              <w:rPr>
                <w:color w:val="222222"/>
                <w:sz w:val="19"/>
                <w:szCs w:val="19"/>
              </w:rPr>
              <w:t>93,000</w:t>
            </w:r>
          </w:p>
        </w:tc>
        <w:tc>
          <w:tcPr>
            <w:tcW w:w="2000" w:type="dxa"/>
            <w:shd w:val="clear" w:color="auto" w:fill="F2F2F2"/>
            <w:tcMar>
              <w:top w:w="80" w:type="dxa"/>
              <w:left w:w="110" w:type="dxa"/>
              <w:bottom w:w="80" w:type="dxa"/>
              <w:right w:w="110" w:type="dxa"/>
            </w:tcMar>
            <w:vAlign w:val="center"/>
          </w:tcPr>
          <w:p w14:paraId="48660CEA" w14:textId="77777777" w:rsidR="00740B59" w:rsidRDefault="00000000">
            <w:pPr>
              <w:jc w:val="center"/>
            </w:pPr>
            <w:r>
              <w:rPr>
                <w:color w:val="222222"/>
                <w:sz w:val="19"/>
                <w:szCs w:val="19"/>
              </w:rPr>
              <w:t>186,000</w:t>
            </w:r>
          </w:p>
        </w:tc>
        <w:tc>
          <w:tcPr>
            <w:tcW w:w="2000" w:type="dxa"/>
            <w:shd w:val="clear" w:color="auto" w:fill="F2F2F2"/>
            <w:tcMar>
              <w:top w:w="80" w:type="dxa"/>
              <w:left w:w="110" w:type="dxa"/>
              <w:bottom w:w="80" w:type="dxa"/>
              <w:right w:w="110" w:type="dxa"/>
            </w:tcMar>
            <w:vAlign w:val="center"/>
          </w:tcPr>
          <w:p w14:paraId="0E0A48CC" w14:textId="77777777" w:rsidR="00740B59" w:rsidRDefault="00000000">
            <w:pPr>
              <w:jc w:val="center"/>
            </w:pPr>
            <w:r>
              <w:rPr>
                <w:color w:val="222222"/>
                <w:sz w:val="19"/>
                <w:szCs w:val="19"/>
              </w:rPr>
              <w:t>—</w:t>
            </w:r>
          </w:p>
        </w:tc>
      </w:tr>
      <w:tr w:rsidR="00740B59" w14:paraId="1F3CC775" w14:textId="77777777">
        <w:tblPrEx>
          <w:tblCellMar>
            <w:top w:w="0" w:type="dxa"/>
            <w:bottom w:w="0" w:type="dxa"/>
          </w:tblCellMar>
        </w:tblPrEx>
        <w:tc>
          <w:tcPr>
            <w:tcW w:w="2600" w:type="dxa"/>
            <w:shd w:val="clear" w:color="auto" w:fill="FFFFFF"/>
            <w:tcMar>
              <w:top w:w="80" w:type="dxa"/>
              <w:left w:w="110" w:type="dxa"/>
              <w:bottom w:w="80" w:type="dxa"/>
              <w:right w:w="110" w:type="dxa"/>
            </w:tcMar>
            <w:vAlign w:val="center"/>
          </w:tcPr>
          <w:p w14:paraId="3E422369" w14:textId="77777777" w:rsidR="00740B59" w:rsidRDefault="00000000">
            <w:r>
              <w:rPr>
                <w:color w:val="222222"/>
                <w:sz w:val="19"/>
                <w:szCs w:val="19"/>
              </w:rPr>
              <w:t>2022</w:t>
            </w:r>
          </w:p>
        </w:tc>
        <w:tc>
          <w:tcPr>
            <w:tcW w:w="2000" w:type="dxa"/>
            <w:shd w:val="clear" w:color="auto" w:fill="FFFFFF"/>
            <w:tcMar>
              <w:top w:w="80" w:type="dxa"/>
              <w:left w:w="110" w:type="dxa"/>
              <w:bottom w:w="80" w:type="dxa"/>
              <w:right w:w="110" w:type="dxa"/>
            </w:tcMar>
            <w:vAlign w:val="center"/>
          </w:tcPr>
          <w:p w14:paraId="0A554B1D" w14:textId="77777777" w:rsidR="00740B59" w:rsidRDefault="00000000">
            <w:pPr>
              <w:jc w:val="center"/>
            </w:pPr>
            <w:r>
              <w:rPr>
                <w:color w:val="222222"/>
                <w:sz w:val="19"/>
                <w:szCs w:val="19"/>
              </w:rPr>
              <w:t>96,000</w:t>
            </w:r>
          </w:p>
        </w:tc>
        <w:tc>
          <w:tcPr>
            <w:tcW w:w="2000" w:type="dxa"/>
            <w:shd w:val="clear" w:color="auto" w:fill="FFFFFF"/>
            <w:tcMar>
              <w:top w:w="80" w:type="dxa"/>
              <w:left w:w="110" w:type="dxa"/>
              <w:bottom w:w="80" w:type="dxa"/>
              <w:right w:w="110" w:type="dxa"/>
            </w:tcMar>
            <w:vAlign w:val="center"/>
          </w:tcPr>
          <w:p w14:paraId="052F5475" w14:textId="77777777" w:rsidR="00740B59" w:rsidRDefault="00000000">
            <w:pPr>
              <w:jc w:val="center"/>
            </w:pPr>
            <w:r>
              <w:rPr>
                <w:color w:val="222222"/>
                <w:sz w:val="19"/>
                <w:szCs w:val="19"/>
              </w:rPr>
              <w:t>192,000</w:t>
            </w:r>
          </w:p>
        </w:tc>
        <w:tc>
          <w:tcPr>
            <w:tcW w:w="2000" w:type="dxa"/>
            <w:shd w:val="clear" w:color="auto" w:fill="FFFFFF"/>
            <w:tcMar>
              <w:top w:w="80" w:type="dxa"/>
              <w:left w:w="110" w:type="dxa"/>
              <w:bottom w:w="80" w:type="dxa"/>
              <w:right w:w="110" w:type="dxa"/>
            </w:tcMar>
            <w:vAlign w:val="center"/>
          </w:tcPr>
          <w:p w14:paraId="03C7B378" w14:textId="77777777" w:rsidR="00740B59" w:rsidRDefault="00000000">
            <w:pPr>
              <w:jc w:val="center"/>
            </w:pPr>
            <w:r>
              <w:rPr>
                <w:color w:val="222222"/>
                <w:sz w:val="19"/>
                <w:szCs w:val="19"/>
              </w:rPr>
              <w:t>—</w:t>
            </w:r>
          </w:p>
        </w:tc>
      </w:tr>
      <w:tr w:rsidR="00740B59" w14:paraId="3B74C7DB" w14:textId="77777777">
        <w:tblPrEx>
          <w:tblCellMar>
            <w:top w:w="0" w:type="dxa"/>
            <w:bottom w:w="0" w:type="dxa"/>
          </w:tblCellMar>
        </w:tblPrEx>
        <w:tc>
          <w:tcPr>
            <w:tcW w:w="2600" w:type="dxa"/>
            <w:shd w:val="clear" w:color="auto" w:fill="F2F2F2"/>
            <w:tcMar>
              <w:top w:w="80" w:type="dxa"/>
              <w:left w:w="110" w:type="dxa"/>
              <w:bottom w:w="80" w:type="dxa"/>
              <w:right w:w="110" w:type="dxa"/>
            </w:tcMar>
            <w:vAlign w:val="center"/>
          </w:tcPr>
          <w:p w14:paraId="79BC8434" w14:textId="77777777" w:rsidR="00740B59" w:rsidRDefault="00000000">
            <w:r>
              <w:rPr>
                <w:color w:val="222222"/>
                <w:sz w:val="19"/>
                <w:szCs w:val="19"/>
              </w:rPr>
              <w:t>2023</w:t>
            </w:r>
          </w:p>
        </w:tc>
        <w:tc>
          <w:tcPr>
            <w:tcW w:w="2000" w:type="dxa"/>
            <w:shd w:val="clear" w:color="auto" w:fill="F2F2F2"/>
            <w:tcMar>
              <w:top w:w="80" w:type="dxa"/>
              <w:left w:w="110" w:type="dxa"/>
              <w:bottom w:w="80" w:type="dxa"/>
              <w:right w:w="110" w:type="dxa"/>
            </w:tcMar>
            <w:vAlign w:val="center"/>
          </w:tcPr>
          <w:p w14:paraId="5028C1A4" w14:textId="77777777" w:rsidR="00740B59" w:rsidRDefault="00000000">
            <w:pPr>
              <w:jc w:val="center"/>
            </w:pPr>
            <w:r>
              <w:rPr>
                <w:color w:val="222222"/>
                <w:sz w:val="19"/>
                <w:szCs w:val="19"/>
              </w:rPr>
              <w:t>99,400</w:t>
            </w:r>
          </w:p>
        </w:tc>
        <w:tc>
          <w:tcPr>
            <w:tcW w:w="2000" w:type="dxa"/>
            <w:shd w:val="clear" w:color="auto" w:fill="F2F2F2"/>
            <w:tcMar>
              <w:top w:w="80" w:type="dxa"/>
              <w:left w:w="110" w:type="dxa"/>
              <w:bottom w:w="80" w:type="dxa"/>
              <w:right w:w="110" w:type="dxa"/>
            </w:tcMar>
            <w:vAlign w:val="center"/>
          </w:tcPr>
          <w:p w14:paraId="46998912" w14:textId="77777777" w:rsidR="00740B59" w:rsidRDefault="00000000">
            <w:pPr>
              <w:jc w:val="center"/>
            </w:pPr>
            <w:r>
              <w:rPr>
                <w:color w:val="222222"/>
                <w:sz w:val="19"/>
                <w:szCs w:val="19"/>
              </w:rPr>
              <w:t>198,800</w:t>
            </w:r>
          </w:p>
        </w:tc>
        <w:tc>
          <w:tcPr>
            <w:tcW w:w="2000" w:type="dxa"/>
            <w:shd w:val="clear" w:color="auto" w:fill="F2F2F2"/>
            <w:tcMar>
              <w:top w:w="80" w:type="dxa"/>
              <w:left w:w="110" w:type="dxa"/>
              <w:bottom w:w="80" w:type="dxa"/>
              <w:right w:w="110" w:type="dxa"/>
            </w:tcMar>
            <w:vAlign w:val="center"/>
          </w:tcPr>
          <w:p w14:paraId="0B2C3EE0" w14:textId="77777777" w:rsidR="00740B59" w:rsidRDefault="00000000">
            <w:pPr>
              <w:jc w:val="center"/>
            </w:pPr>
            <w:r>
              <w:rPr>
                <w:color w:val="222222"/>
                <w:sz w:val="19"/>
                <w:szCs w:val="19"/>
              </w:rPr>
              <w:t>—</w:t>
            </w:r>
          </w:p>
        </w:tc>
      </w:tr>
      <w:tr w:rsidR="00740B59" w14:paraId="17A56492" w14:textId="77777777">
        <w:tblPrEx>
          <w:tblCellMar>
            <w:top w:w="0" w:type="dxa"/>
            <w:bottom w:w="0" w:type="dxa"/>
          </w:tblCellMar>
        </w:tblPrEx>
        <w:tc>
          <w:tcPr>
            <w:tcW w:w="2600" w:type="dxa"/>
            <w:shd w:val="clear" w:color="auto" w:fill="FFFFFF"/>
            <w:tcMar>
              <w:top w:w="80" w:type="dxa"/>
              <w:left w:w="110" w:type="dxa"/>
              <w:bottom w:w="80" w:type="dxa"/>
              <w:right w:w="110" w:type="dxa"/>
            </w:tcMar>
            <w:vAlign w:val="center"/>
          </w:tcPr>
          <w:p w14:paraId="0A23E40B" w14:textId="77777777" w:rsidR="00740B59" w:rsidRDefault="00000000">
            <w:r>
              <w:rPr>
                <w:color w:val="222222"/>
                <w:sz w:val="19"/>
                <w:szCs w:val="19"/>
              </w:rPr>
              <w:t>2024</w:t>
            </w:r>
          </w:p>
        </w:tc>
        <w:tc>
          <w:tcPr>
            <w:tcW w:w="2000" w:type="dxa"/>
            <w:shd w:val="clear" w:color="auto" w:fill="FFFFFF"/>
            <w:tcMar>
              <w:top w:w="80" w:type="dxa"/>
              <w:left w:w="110" w:type="dxa"/>
              <w:bottom w:w="80" w:type="dxa"/>
              <w:right w:w="110" w:type="dxa"/>
            </w:tcMar>
            <w:vAlign w:val="center"/>
          </w:tcPr>
          <w:p w14:paraId="1DF0386A" w14:textId="77777777" w:rsidR="00740B59" w:rsidRDefault="00000000">
            <w:pPr>
              <w:jc w:val="center"/>
            </w:pPr>
            <w:r>
              <w:rPr>
                <w:color w:val="222222"/>
                <w:sz w:val="19"/>
                <w:szCs w:val="19"/>
              </w:rPr>
              <w:t>102,900</w:t>
            </w:r>
          </w:p>
        </w:tc>
        <w:tc>
          <w:tcPr>
            <w:tcW w:w="2000" w:type="dxa"/>
            <w:shd w:val="clear" w:color="auto" w:fill="FFFFFF"/>
            <w:tcMar>
              <w:top w:w="80" w:type="dxa"/>
              <w:left w:w="110" w:type="dxa"/>
              <w:bottom w:w="80" w:type="dxa"/>
              <w:right w:w="110" w:type="dxa"/>
            </w:tcMar>
            <w:vAlign w:val="center"/>
          </w:tcPr>
          <w:p w14:paraId="23B0F9C0" w14:textId="77777777" w:rsidR="00740B59" w:rsidRDefault="00000000">
            <w:pPr>
              <w:jc w:val="center"/>
            </w:pPr>
            <w:r>
              <w:rPr>
                <w:color w:val="222222"/>
                <w:sz w:val="19"/>
                <w:szCs w:val="19"/>
              </w:rPr>
              <w:t>205,800</w:t>
            </w:r>
          </w:p>
        </w:tc>
        <w:tc>
          <w:tcPr>
            <w:tcW w:w="2000" w:type="dxa"/>
            <w:shd w:val="clear" w:color="auto" w:fill="FFFFFF"/>
            <w:tcMar>
              <w:top w:w="80" w:type="dxa"/>
              <w:left w:w="110" w:type="dxa"/>
              <w:bottom w:w="80" w:type="dxa"/>
              <w:right w:w="110" w:type="dxa"/>
            </w:tcMar>
            <w:vAlign w:val="center"/>
          </w:tcPr>
          <w:p w14:paraId="5769F9EA" w14:textId="77777777" w:rsidR="00740B59" w:rsidRDefault="00000000">
            <w:pPr>
              <w:jc w:val="center"/>
            </w:pPr>
            <w:r>
              <w:rPr>
                <w:color w:val="222222"/>
                <w:sz w:val="19"/>
                <w:szCs w:val="19"/>
              </w:rPr>
              <w:t>308,700 (3x BRS)</w:t>
            </w:r>
          </w:p>
        </w:tc>
      </w:tr>
      <w:tr w:rsidR="00740B59" w14:paraId="43818401" w14:textId="77777777">
        <w:tblPrEx>
          <w:tblCellMar>
            <w:top w:w="0" w:type="dxa"/>
            <w:bottom w:w="0" w:type="dxa"/>
          </w:tblCellMar>
        </w:tblPrEx>
        <w:tc>
          <w:tcPr>
            <w:tcW w:w="2600" w:type="dxa"/>
            <w:shd w:val="clear" w:color="auto" w:fill="F2F2F2"/>
            <w:tcMar>
              <w:top w:w="80" w:type="dxa"/>
              <w:left w:w="110" w:type="dxa"/>
              <w:bottom w:w="80" w:type="dxa"/>
              <w:right w:w="110" w:type="dxa"/>
            </w:tcMar>
            <w:vAlign w:val="center"/>
          </w:tcPr>
          <w:p w14:paraId="3F0FF15B" w14:textId="77777777" w:rsidR="00740B59" w:rsidRDefault="00000000">
            <w:r>
              <w:rPr>
                <w:color w:val="222222"/>
                <w:sz w:val="19"/>
                <w:szCs w:val="19"/>
              </w:rPr>
              <w:t>2025</w:t>
            </w:r>
          </w:p>
        </w:tc>
        <w:tc>
          <w:tcPr>
            <w:tcW w:w="2000" w:type="dxa"/>
            <w:shd w:val="clear" w:color="auto" w:fill="F2F2F2"/>
            <w:tcMar>
              <w:top w:w="80" w:type="dxa"/>
              <w:left w:w="110" w:type="dxa"/>
              <w:bottom w:w="80" w:type="dxa"/>
              <w:right w:w="110" w:type="dxa"/>
            </w:tcMar>
            <w:vAlign w:val="center"/>
          </w:tcPr>
          <w:p w14:paraId="61AB125D" w14:textId="77777777" w:rsidR="00740B59" w:rsidRDefault="00000000">
            <w:pPr>
              <w:jc w:val="center"/>
            </w:pPr>
            <w:r>
              <w:rPr>
                <w:color w:val="222222"/>
                <w:sz w:val="19"/>
                <w:szCs w:val="19"/>
              </w:rPr>
              <w:t>106,500</w:t>
            </w:r>
          </w:p>
        </w:tc>
        <w:tc>
          <w:tcPr>
            <w:tcW w:w="2000" w:type="dxa"/>
            <w:shd w:val="clear" w:color="auto" w:fill="F2F2F2"/>
            <w:tcMar>
              <w:top w:w="80" w:type="dxa"/>
              <w:left w:w="110" w:type="dxa"/>
              <w:bottom w:w="80" w:type="dxa"/>
              <w:right w:w="110" w:type="dxa"/>
            </w:tcMar>
            <w:vAlign w:val="center"/>
          </w:tcPr>
          <w:p w14:paraId="7AEC5F9C" w14:textId="77777777" w:rsidR="00740B59" w:rsidRDefault="00000000">
            <w:pPr>
              <w:jc w:val="center"/>
            </w:pPr>
            <w:r>
              <w:rPr>
                <w:color w:val="222222"/>
                <w:sz w:val="19"/>
                <w:szCs w:val="19"/>
              </w:rPr>
              <w:t>213,000</w:t>
            </w:r>
          </w:p>
        </w:tc>
        <w:tc>
          <w:tcPr>
            <w:tcW w:w="2000" w:type="dxa"/>
            <w:shd w:val="clear" w:color="auto" w:fill="F2F2F2"/>
            <w:tcMar>
              <w:top w:w="80" w:type="dxa"/>
              <w:left w:w="110" w:type="dxa"/>
              <w:bottom w:w="80" w:type="dxa"/>
              <w:right w:w="110" w:type="dxa"/>
            </w:tcMar>
            <w:vAlign w:val="center"/>
          </w:tcPr>
          <w:p w14:paraId="591CDE1A" w14:textId="77777777" w:rsidR="00740B59" w:rsidRDefault="00000000">
            <w:pPr>
              <w:jc w:val="center"/>
            </w:pPr>
            <w:r>
              <w:rPr>
                <w:color w:val="222222"/>
                <w:sz w:val="19"/>
                <w:szCs w:val="19"/>
              </w:rPr>
              <w:t>426,000 (4x BRS)</w:t>
            </w:r>
          </w:p>
        </w:tc>
      </w:tr>
      <w:tr w:rsidR="00740B59" w14:paraId="36ED7D4E" w14:textId="77777777">
        <w:tblPrEx>
          <w:tblCellMar>
            <w:top w:w="0" w:type="dxa"/>
            <w:bottom w:w="0" w:type="dxa"/>
          </w:tblCellMar>
        </w:tblPrEx>
        <w:tc>
          <w:tcPr>
            <w:tcW w:w="2600" w:type="dxa"/>
            <w:shd w:val="clear" w:color="auto" w:fill="FFFFFF"/>
            <w:tcMar>
              <w:top w:w="80" w:type="dxa"/>
              <w:left w:w="110" w:type="dxa"/>
              <w:bottom w:w="80" w:type="dxa"/>
              <w:right w:w="110" w:type="dxa"/>
            </w:tcMar>
            <w:vAlign w:val="center"/>
          </w:tcPr>
          <w:p w14:paraId="5AB1FE2B" w14:textId="77777777" w:rsidR="00740B59" w:rsidRDefault="00000000">
            <w:r>
              <w:rPr>
                <w:color w:val="222222"/>
                <w:sz w:val="19"/>
                <w:szCs w:val="19"/>
              </w:rPr>
              <w:t>2026</w:t>
            </w:r>
          </w:p>
        </w:tc>
        <w:tc>
          <w:tcPr>
            <w:tcW w:w="2000" w:type="dxa"/>
            <w:shd w:val="clear" w:color="auto" w:fill="FFFFFF"/>
            <w:tcMar>
              <w:top w:w="80" w:type="dxa"/>
              <w:left w:w="110" w:type="dxa"/>
              <w:bottom w:w="80" w:type="dxa"/>
              <w:right w:w="110" w:type="dxa"/>
            </w:tcMar>
            <w:vAlign w:val="center"/>
          </w:tcPr>
          <w:p w14:paraId="79708F5C" w14:textId="77777777" w:rsidR="00740B59" w:rsidRDefault="00000000">
            <w:pPr>
              <w:jc w:val="center"/>
            </w:pPr>
            <w:r>
              <w:rPr>
                <w:color w:val="222222"/>
                <w:sz w:val="19"/>
                <w:szCs w:val="19"/>
              </w:rPr>
              <w:t>110,200</w:t>
            </w:r>
          </w:p>
        </w:tc>
        <w:tc>
          <w:tcPr>
            <w:tcW w:w="2000" w:type="dxa"/>
            <w:shd w:val="clear" w:color="auto" w:fill="FFFFFF"/>
            <w:tcMar>
              <w:top w:w="80" w:type="dxa"/>
              <w:left w:w="110" w:type="dxa"/>
              <w:bottom w:w="80" w:type="dxa"/>
              <w:right w:w="110" w:type="dxa"/>
            </w:tcMar>
            <w:vAlign w:val="center"/>
          </w:tcPr>
          <w:p w14:paraId="6E38B128" w14:textId="77777777" w:rsidR="00740B59" w:rsidRDefault="00000000">
            <w:pPr>
              <w:jc w:val="center"/>
            </w:pPr>
            <w:r>
              <w:rPr>
                <w:color w:val="222222"/>
                <w:sz w:val="19"/>
                <w:szCs w:val="19"/>
              </w:rPr>
              <w:t>220,400</w:t>
            </w:r>
          </w:p>
        </w:tc>
        <w:tc>
          <w:tcPr>
            <w:tcW w:w="2000" w:type="dxa"/>
            <w:shd w:val="clear" w:color="auto" w:fill="FFFFFF"/>
            <w:tcMar>
              <w:top w:w="80" w:type="dxa"/>
              <w:left w:w="110" w:type="dxa"/>
              <w:bottom w:w="80" w:type="dxa"/>
              <w:right w:w="110" w:type="dxa"/>
            </w:tcMar>
            <w:vAlign w:val="center"/>
          </w:tcPr>
          <w:p w14:paraId="0FF14B96" w14:textId="77777777" w:rsidR="00740B59" w:rsidRDefault="00000000">
            <w:pPr>
              <w:jc w:val="center"/>
            </w:pPr>
            <w:r>
              <w:rPr>
                <w:color w:val="222222"/>
                <w:sz w:val="19"/>
                <w:szCs w:val="19"/>
              </w:rPr>
              <w:t>440,800 (4x BRS)</w:t>
            </w:r>
          </w:p>
        </w:tc>
      </w:tr>
      <w:tr w:rsidR="00740B59" w14:paraId="42D4F034" w14:textId="77777777">
        <w:tblPrEx>
          <w:tblCellMar>
            <w:top w:w="0" w:type="dxa"/>
            <w:bottom w:w="0" w:type="dxa"/>
          </w:tblCellMar>
        </w:tblPrEx>
        <w:tc>
          <w:tcPr>
            <w:tcW w:w="2600" w:type="dxa"/>
            <w:shd w:val="clear" w:color="auto" w:fill="F2F2F2"/>
            <w:tcMar>
              <w:top w:w="80" w:type="dxa"/>
              <w:left w:w="110" w:type="dxa"/>
              <w:bottom w:w="80" w:type="dxa"/>
              <w:right w:w="110" w:type="dxa"/>
            </w:tcMar>
            <w:vAlign w:val="center"/>
          </w:tcPr>
          <w:p w14:paraId="4FECDB92" w14:textId="77777777" w:rsidR="00740B59" w:rsidRDefault="00000000">
            <w:r>
              <w:rPr>
                <w:color w:val="222222"/>
                <w:sz w:val="19"/>
                <w:szCs w:val="19"/>
              </w:rPr>
              <w:t>2027</w:t>
            </w:r>
          </w:p>
        </w:tc>
        <w:tc>
          <w:tcPr>
            <w:tcW w:w="2000" w:type="dxa"/>
            <w:shd w:val="clear" w:color="auto" w:fill="F2F2F2"/>
            <w:tcMar>
              <w:top w:w="80" w:type="dxa"/>
              <w:left w:w="110" w:type="dxa"/>
              <w:bottom w:w="80" w:type="dxa"/>
              <w:right w:w="110" w:type="dxa"/>
            </w:tcMar>
            <w:vAlign w:val="center"/>
          </w:tcPr>
          <w:p w14:paraId="4CB05FC2" w14:textId="77777777" w:rsidR="00740B59" w:rsidRDefault="00000000">
            <w:pPr>
              <w:jc w:val="center"/>
            </w:pPr>
            <w:r>
              <w:rPr>
                <w:color w:val="222222"/>
                <w:sz w:val="19"/>
                <w:szCs w:val="19"/>
              </w:rPr>
              <w:t>114,100</w:t>
            </w:r>
          </w:p>
        </w:tc>
        <w:tc>
          <w:tcPr>
            <w:tcW w:w="2000" w:type="dxa"/>
            <w:shd w:val="clear" w:color="auto" w:fill="F2F2F2"/>
            <w:tcMar>
              <w:top w:w="80" w:type="dxa"/>
              <w:left w:w="110" w:type="dxa"/>
              <w:bottom w:w="80" w:type="dxa"/>
              <w:right w:w="110" w:type="dxa"/>
            </w:tcMar>
            <w:vAlign w:val="center"/>
          </w:tcPr>
          <w:p w14:paraId="255668A6" w14:textId="77777777" w:rsidR="00740B59" w:rsidRDefault="00000000">
            <w:pPr>
              <w:jc w:val="center"/>
            </w:pPr>
            <w:r>
              <w:rPr>
                <w:color w:val="222222"/>
                <w:sz w:val="19"/>
                <w:szCs w:val="19"/>
              </w:rPr>
              <w:t>228,200</w:t>
            </w:r>
          </w:p>
        </w:tc>
        <w:tc>
          <w:tcPr>
            <w:tcW w:w="2000" w:type="dxa"/>
            <w:shd w:val="clear" w:color="auto" w:fill="F2F2F2"/>
            <w:tcMar>
              <w:top w:w="80" w:type="dxa"/>
              <w:left w:w="110" w:type="dxa"/>
              <w:bottom w:w="80" w:type="dxa"/>
              <w:right w:w="110" w:type="dxa"/>
            </w:tcMar>
            <w:vAlign w:val="center"/>
          </w:tcPr>
          <w:p w14:paraId="7EF9739B" w14:textId="77777777" w:rsidR="00740B59" w:rsidRDefault="00000000">
            <w:pPr>
              <w:jc w:val="center"/>
            </w:pPr>
            <w:r>
              <w:rPr>
                <w:color w:val="222222"/>
                <w:sz w:val="19"/>
                <w:szCs w:val="19"/>
              </w:rPr>
              <w:t>456,400 (4x BRS)</w:t>
            </w:r>
          </w:p>
        </w:tc>
      </w:tr>
    </w:tbl>
    <w:p w14:paraId="7E0FCE22" w14:textId="77777777" w:rsidR="00740B59" w:rsidRDefault="00000000">
      <w:pPr>
        <w:spacing w:after="260"/>
      </w:pPr>
      <w:r>
        <w:rPr>
          <w:i/>
          <w:iCs/>
          <w:color w:val="5B5F66"/>
          <w:sz w:val="17"/>
          <w:szCs w:val="17"/>
        </w:rPr>
        <w:t>Source: CPF Board "What are the retirement sums" and "What is the CPF retirement sum"; SmartWealth.sg compilation of CPF Board / MOF Budget annex figures; MOF Budget 2022 Annex E-3.</w:t>
      </w:r>
    </w:p>
    <w:p w14:paraId="3F63E6FD" w14:textId="77777777" w:rsidR="00740B59" w:rsidRDefault="00000000">
      <w:pPr>
        <w:pStyle w:val="Heading2"/>
        <w:spacing w:before="280" w:after="140"/>
      </w:pPr>
      <w:r>
        <w:rPr>
          <w:b/>
          <w:bCs/>
          <w:color w:val="0F6E6E"/>
          <w:sz w:val="24"/>
          <w:szCs w:val="24"/>
        </w:rPr>
        <w:t>2.2 The growth trajectory</w:t>
      </w:r>
    </w:p>
    <w:p w14:paraId="76A13C51" w14:textId="77777777" w:rsidR="00740B59" w:rsidRDefault="00000000">
      <w:pPr>
        <w:spacing w:after="160" w:line="288" w:lineRule="auto"/>
        <w:jc w:val="both"/>
      </w:pPr>
      <w:r>
        <w:rPr>
          <w:color w:val="222222"/>
        </w:rPr>
        <w:t>The FRS rose from $80,000 in 2003 to a projected $228,200 for the 2027 cohort. Growth was faster in the earlier 2003–2016 period (roughly 6% a year, as the scheme was still being calibrated against rising life expectancy and wages) and has been deliberately paced at about 3.5% a year for the 2023–2027 cohorts — a rate the government has pegged to expected long-run wage growth, so retirement adequacy keeps pace with the cost of living without sums escalating unpredictably.</w:t>
      </w:r>
    </w:p>
    <w:p w14:paraId="2293E969" w14:textId="77777777" w:rsidR="00740B59" w:rsidRDefault="00000000">
      <w:pPr>
        <w:pStyle w:val="Heading2"/>
        <w:spacing w:before="280" w:after="140"/>
      </w:pPr>
      <w:r>
        <w:rPr>
          <w:b/>
          <w:bCs/>
          <w:color w:val="0F6E6E"/>
          <w:sz w:val="24"/>
          <w:szCs w:val="24"/>
        </w:rPr>
        <w:t>2.3 Contribution limits and the wage ceiling roadmap</w:t>
      </w:r>
    </w:p>
    <w:p w14:paraId="1F6E2FE5" w14:textId="77777777" w:rsidR="00740B59" w:rsidRDefault="00000000">
      <w:pPr>
        <w:spacing w:after="160" w:line="288" w:lineRule="auto"/>
        <w:jc w:val="both"/>
      </w:pPr>
      <w:r>
        <w:rPr>
          <w:color w:val="222222"/>
        </w:rPr>
        <w:lastRenderedPageBreak/>
        <w:t>Two separate ceilings govern how much flows into CPF each year: the monthly Ordinary Wage (OW) ceiling, which caps how much of a single month's wage attracts CPF contributions, and the CPF Annual Limit, which caps total CPF contributions (all wage types plus voluntary contributions) across a year.</w:t>
      </w:r>
    </w:p>
    <w:p w14:paraId="61303A5B" w14:textId="77777777" w:rsidR="00740B59" w:rsidRDefault="00000000">
      <w:pPr>
        <w:spacing w:before="200" w:after="100"/>
      </w:pPr>
      <w:r>
        <w:rPr>
          <w:b/>
          <w:bCs/>
          <w:color w:val="1B2A4A"/>
        </w:rPr>
        <w:t>Table 2.2 — Ordinary Wage ceiling roadmap, 2023–2026</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tblGrid>
      <w:tr w:rsidR="00740B59" w14:paraId="4B9157D2" w14:textId="77777777">
        <w:tblPrEx>
          <w:tblCellMar>
            <w:top w:w="0" w:type="dxa"/>
            <w:bottom w:w="0" w:type="dxa"/>
          </w:tblCellMar>
        </w:tblPrEx>
        <w:trPr>
          <w:tblHeader/>
        </w:trPr>
        <w:tc>
          <w:tcPr>
            <w:tcW w:w="3600" w:type="dxa"/>
            <w:shd w:val="clear" w:color="auto" w:fill="1B2A4A"/>
            <w:tcMar>
              <w:top w:w="80" w:type="dxa"/>
              <w:left w:w="110" w:type="dxa"/>
              <w:bottom w:w="80" w:type="dxa"/>
              <w:right w:w="110" w:type="dxa"/>
            </w:tcMar>
            <w:vAlign w:val="center"/>
          </w:tcPr>
          <w:p w14:paraId="123BB0EB" w14:textId="77777777" w:rsidR="00740B59" w:rsidRDefault="00000000">
            <w:pPr>
              <w:jc w:val="center"/>
            </w:pPr>
            <w:r>
              <w:rPr>
                <w:b/>
                <w:bCs/>
                <w:color w:val="FFFFFF"/>
                <w:sz w:val="19"/>
                <w:szCs w:val="19"/>
              </w:rPr>
              <w:t>Effective from</w:t>
            </w:r>
          </w:p>
        </w:tc>
        <w:tc>
          <w:tcPr>
            <w:tcW w:w="3600" w:type="dxa"/>
            <w:shd w:val="clear" w:color="auto" w:fill="1B2A4A"/>
            <w:tcMar>
              <w:top w:w="80" w:type="dxa"/>
              <w:left w:w="110" w:type="dxa"/>
              <w:bottom w:w="80" w:type="dxa"/>
              <w:right w:w="110" w:type="dxa"/>
            </w:tcMar>
            <w:vAlign w:val="center"/>
          </w:tcPr>
          <w:p w14:paraId="16FEE484" w14:textId="77777777" w:rsidR="00740B59" w:rsidRDefault="00000000">
            <w:pPr>
              <w:jc w:val="center"/>
            </w:pPr>
            <w:r>
              <w:rPr>
                <w:b/>
                <w:bCs/>
                <w:color w:val="FFFFFF"/>
                <w:sz w:val="19"/>
                <w:szCs w:val="19"/>
              </w:rPr>
              <w:t>OW ceiling</w:t>
            </w:r>
          </w:p>
        </w:tc>
      </w:tr>
      <w:tr w:rsidR="00740B59" w14:paraId="671ECF75" w14:textId="77777777">
        <w:tblPrEx>
          <w:tblCellMar>
            <w:top w:w="0" w:type="dxa"/>
            <w:bottom w:w="0" w:type="dxa"/>
          </w:tblCellMar>
        </w:tblPrEx>
        <w:tc>
          <w:tcPr>
            <w:tcW w:w="3600" w:type="dxa"/>
            <w:shd w:val="clear" w:color="auto" w:fill="FFFFFF"/>
            <w:tcMar>
              <w:top w:w="80" w:type="dxa"/>
              <w:left w:w="110" w:type="dxa"/>
              <w:bottom w:w="80" w:type="dxa"/>
              <w:right w:w="110" w:type="dxa"/>
            </w:tcMar>
            <w:vAlign w:val="center"/>
          </w:tcPr>
          <w:p w14:paraId="21E2F227" w14:textId="77777777" w:rsidR="00740B59" w:rsidRDefault="00000000">
            <w:r>
              <w:rPr>
                <w:color w:val="222222"/>
                <w:sz w:val="19"/>
                <w:szCs w:val="19"/>
              </w:rPr>
              <w:t>Before 1 Sep 2023</w:t>
            </w:r>
          </w:p>
        </w:tc>
        <w:tc>
          <w:tcPr>
            <w:tcW w:w="3600" w:type="dxa"/>
            <w:shd w:val="clear" w:color="auto" w:fill="FFFFFF"/>
            <w:tcMar>
              <w:top w:w="80" w:type="dxa"/>
              <w:left w:w="110" w:type="dxa"/>
              <w:bottom w:w="80" w:type="dxa"/>
              <w:right w:w="110" w:type="dxa"/>
            </w:tcMar>
            <w:vAlign w:val="center"/>
          </w:tcPr>
          <w:p w14:paraId="1A7073FF" w14:textId="77777777" w:rsidR="00740B59" w:rsidRDefault="00000000">
            <w:pPr>
              <w:jc w:val="center"/>
            </w:pPr>
            <w:r>
              <w:rPr>
                <w:color w:val="222222"/>
                <w:sz w:val="19"/>
                <w:szCs w:val="19"/>
              </w:rPr>
              <w:t>$6,000/month</w:t>
            </w:r>
          </w:p>
        </w:tc>
      </w:tr>
      <w:tr w:rsidR="00740B59" w14:paraId="62C73B49" w14:textId="77777777">
        <w:tblPrEx>
          <w:tblCellMar>
            <w:top w:w="0" w:type="dxa"/>
            <w:bottom w:w="0" w:type="dxa"/>
          </w:tblCellMar>
        </w:tblPrEx>
        <w:tc>
          <w:tcPr>
            <w:tcW w:w="3600" w:type="dxa"/>
            <w:shd w:val="clear" w:color="auto" w:fill="F2F2F2"/>
            <w:tcMar>
              <w:top w:w="80" w:type="dxa"/>
              <w:left w:w="110" w:type="dxa"/>
              <w:bottom w:w="80" w:type="dxa"/>
              <w:right w:w="110" w:type="dxa"/>
            </w:tcMar>
            <w:vAlign w:val="center"/>
          </w:tcPr>
          <w:p w14:paraId="2409A2D5" w14:textId="77777777" w:rsidR="00740B59" w:rsidRDefault="00000000">
            <w:r>
              <w:rPr>
                <w:color w:val="222222"/>
                <w:sz w:val="19"/>
                <w:szCs w:val="19"/>
              </w:rPr>
              <w:t>1 Sep 2023</w:t>
            </w:r>
          </w:p>
        </w:tc>
        <w:tc>
          <w:tcPr>
            <w:tcW w:w="3600" w:type="dxa"/>
            <w:shd w:val="clear" w:color="auto" w:fill="F2F2F2"/>
            <w:tcMar>
              <w:top w:w="80" w:type="dxa"/>
              <w:left w:w="110" w:type="dxa"/>
              <w:bottom w:w="80" w:type="dxa"/>
              <w:right w:w="110" w:type="dxa"/>
            </w:tcMar>
            <w:vAlign w:val="center"/>
          </w:tcPr>
          <w:p w14:paraId="20B88B5D" w14:textId="77777777" w:rsidR="00740B59" w:rsidRDefault="00000000">
            <w:pPr>
              <w:jc w:val="center"/>
            </w:pPr>
            <w:r>
              <w:rPr>
                <w:color w:val="222222"/>
                <w:sz w:val="19"/>
                <w:szCs w:val="19"/>
              </w:rPr>
              <w:t>$6,300/month</w:t>
            </w:r>
          </w:p>
        </w:tc>
      </w:tr>
      <w:tr w:rsidR="00740B59" w14:paraId="059EE2A3" w14:textId="77777777">
        <w:tblPrEx>
          <w:tblCellMar>
            <w:top w:w="0" w:type="dxa"/>
            <w:bottom w:w="0" w:type="dxa"/>
          </w:tblCellMar>
        </w:tblPrEx>
        <w:tc>
          <w:tcPr>
            <w:tcW w:w="3600" w:type="dxa"/>
            <w:shd w:val="clear" w:color="auto" w:fill="FFFFFF"/>
            <w:tcMar>
              <w:top w:w="80" w:type="dxa"/>
              <w:left w:w="110" w:type="dxa"/>
              <w:bottom w:w="80" w:type="dxa"/>
              <w:right w:w="110" w:type="dxa"/>
            </w:tcMar>
            <w:vAlign w:val="center"/>
          </w:tcPr>
          <w:p w14:paraId="103A4AD2" w14:textId="77777777" w:rsidR="00740B59" w:rsidRDefault="00000000">
            <w:r>
              <w:rPr>
                <w:color w:val="222222"/>
                <w:sz w:val="19"/>
                <w:szCs w:val="19"/>
              </w:rPr>
              <w:t>1 Jan 2024</w:t>
            </w:r>
          </w:p>
        </w:tc>
        <w:tc>
          <w:tcPr>
            <w:tcW w:w="3600" w:type="dxa"/>
            <w:shd w:val="clear" w:color="auto" w:fill="FFFFFF"/>
            <w:tcMar>
              <w:top w:w="80" w:type="dxa"/>
              <w:left w:w="110" w:type="dxa"/>
              <w:bottom w:w="80" w:type="dxa"/>
              <w:right w:w="110" w:type="dxa"/>
            </w:tcMar>
            <w:vAlign w:val="center"/>
          </w:tcPr>
          <w:p w14:paraId="275511F6" w14:textId="77777777" w:rsidR="00740B59" w:rsidRDefault="00000000">
            <w:pPr>
              <w:jc w:val="center"/>
            </w:pPr>
            <w:r>
              <w:rPr>
                <w:color w:val="222222"/>
                <w:sz w:val="19"/>
                <w:szCs w:val="19"/>
              </w:rPr>
              <w:t>$6,800/month</w:t>
            </w:r>
          </w:p>
        </w:tc>
      </w:tr>
      <w:tr w:rsidR="00740B59" w14:paraId="62FD8460" w14:textId="77777777">
        <w:tblPrEx>
          <w:tblCellMar>
            <w:top w:w="0" w:type="dxa"/>
            <w:bottom w:w="0" w:type="dxa"/>
          </w:tblCellMar>
        </w:tblPrEx>
        <w:tc>
          <w:tcPr>
            <w:tcW w:w="3600" w:type="dxa"/>
            <w:shd w:val="clear" w:color="auto" w:fill="F2F2F2"/>
            <w:tcMar>
              <w:top w:w="80" w:type="dxa"/>
              <w:left w:w="110" w:type="dxa"/>
              <w:bottom w:w="80" w:type="dxa"/>
              <w:right w:w="110" w:type="dxa"/>
            </w:tcMar>
            <w:vAlign w:val="center"/>
          </w:tcPr>
          <w:p w14:paraId="3B6939A4" w14:textId="77777777" w:rsidR="00740B59" w:rsidRDefault="00000000">
            <w:r>
              <w:rPr>
                <w:color w:val="222222"/>
                <w:sz w:val="19"/>
                <w:szCs w:val="19"/>
              </w:rPr>
              <w:t>1 Jan 2025</w:t>
            </w:r>
          </w:p>
        </w:tc>
        <w:tc>
          <w:tcPr>
            <w:tcW w:w="3600" w:type="dxa"/>
            <w:shd w:val="clear" w:color="auto" w:fill="F2F2F2"/>
            <w:tcMar>
              <w:top w:w="80" w:type="dxa"/>
              <w:left w:w="110" w:type="dxa"/>
              <w:bottom w:w="80" w:type="dxa"/>
              <w:right w:w="110" w:type="dxa"/>
            </w:tcMar>
            <w:vAlign w:val="center"/>
          </w:tcPr>
          <w:p w14:paraId="4ED52BC8" w14:textId="77777777" w:rsidR="00740B59" w:rsidRDefault="00000000">
            <w:pPr>
              <w:jc w:val="center"/>
            </w:pPr>
            <w:r>
              <w:rPr>
                <w:color w:val="222222"/>
                <w:sz w:val="19"/>
                <w:szCs w:val="19"/>
              </w:rPr>
              <w:t>$7,400/month</w:t>
            </w:r>
          </w:p>
        </w:tc>
      </w:tr>
      <w:tr w:rsidR="00740B59" w14:paraId="04979E2F" w14:textId="77777777">
        <w:tblPrEx>
          <w:tblCellMar>
            <w:top w:w="0" w:type="dxa"/>
            <w:bottom w:w="0" w:type="dxa"/>
          </w:tblCellMar>
        </w:tblPrEx>
        <w:tc>
          <w:tcPr>
            <w:tcW w:w="3600" w:type="dxa"/>
            <w:shd w:val="clear" w:color="auto" w:fill="FFFFFF"/>
            <w:tcMar>
              <w:top w:w="80" w:type="dxa"/>
              <w:left w:w="110" w:type="dxa"/>
              <w:bottom w:w="80" w:type="dxa"/>
              <w:right w:w="110" w:type="dxa"/>
            </w:tcMar>
            <w:vAlign w:val="center"/>
          </w:tcPr>
          <w:p w14:paraId="32CC4638" w14:textId="77777777" w:rsidR="00740B59" w:rsidRDefault="00000000">
            <w:r>
              <w:rPr>
                <w:color w:val="222222"/>
                <w:sz w:val="19"/>
                <w:szCs w:val="19"/>
              </w:rPr>
              <w:t>1 Jan 2026</w:t>
            </w:r>
          </w:p>
        </w:tc>
        <w:tc>
          <w:tcPr>
            <w:tcW w:w="3600" w:type="dxa"/>
            <w:shd w:val="clear" w:color="auto" w:fill="FFFFFF"/>
            <w:tcMar>
              <w:top w:w="80" w:type="dxa"/>
              <w:left w:w="110" w:type="dxa"/>
              <w:bottom w:w="80" w:type="dxa"/>
              <w:right w:w="110" w:type="dxa"/>
            </w:tcMar>
            <w:vAlign w:val="center"/>
          </w:tcPr>
          <w:p w14:paraId="61AEA909" w14:textId="77777777" w:rsidR="00740B59" w:rsidRDefault="00000000">
            <w:pPr>
              <w:jc w:val="center"/>
            </w:pPr>
            <w:r>
              <w:rPr>
                <w:color w:val="222222"/>
                <w:sz w:val="19"/>
                <w:szCs w:val="19"/>
              </w:rPr>
              <w:t>$8,000/month</w:t>
            </w:r>
          </w:p>
        </w:tc>
      </w:tr>
    </w:tbl>
    <w:p w14:paraId="479C115E" w14:textId="77777777" w:rsidR="00740B59" w:rsidRDefault="00000000">
      <w:pPr>
        <w:spacing w:after="160" w:line="288" w:lineRule="auto"/>
        <w:jc w:val="both"/>
      </w:pPr>
      <w:r>
        <w:rPr>
          <w:color w:val="222222"/>
        </w:rPr>
        <w:t>The CPF Annual Limit for 2026 stands at $102,000 (implying a CPF Annual Limit-consistent Additional Wage ceiling of $37,740). The OW ceiling increase — from $6,000 to $8,000 over three years — was designed to keep pace with rising median wages, since the ceiling had been static since 2016 and was falling behind wage growth for higher earners, including many mid-career professionals.</w:t>
      </w:r>
    </w:p>
    <w:p w14:paraId="49532800" w14:textId="77777777" w:rsidR="00740B59" w:rsidRDefault="00000000">
      <w:pPr>
        <w:pStyle w:val="Heading2"/>
        <w:spacing w:before="280" w:after="140"/>
      </w:pPr>
      <w:r>
        <w:rPr>
          <w:b/>
          <w:bCs/>
          <w:color w:val="0F6E6E"/>
          <w:sz w:val="24"/>
          <w:szCs w:val="24"/>
        </w:rPr>
        <w:t>2.4 Senior-worker contribution rates</w:t>
      </w:r>
    </w:p>
    <w:p w14:paraId="16327493" w14:textId="77777777" w:rsidR="00740B59" w:rsidRDefault="00000000">
      <w:pPr>
        <w:spacing w:after="160" w:line="288" w:lineRule="auto"/>
        <w:jc w:val="both"/>
      </w:pPr>
      <w:r>
        <w:rPr>
          <w:color w:val="222222"/>
        </w:rPr>
        <w:t>From 1 January 2026, total CPF contribution rates for employees above 55 rise, with a combined increase of 1.5 percentage points for the 55–60 band (employer +0.5pp, employee +1pp) — continuing a multi-year glide path to eventually align senior contribution rates closer to those of younger workers. A further increase is scheduled from January 2027 (1.5pp for above-55-to-60, 1.0pp for above-60-to-65), with all of the increase directed into the Retirement Account up to the FRS, and an employer CPF Transition Offset covering half of the 2027 increase to cushion business costs — a detail worth noting given your own vantage point on industry-facing policy design.</w:t>
      </w:r>
    </w:p>
    <w:p w14:paraId="28AEE673" w14:textId="77777777" w:rsidR="00740B59" w:rsidRDefault="00000000">
      <w:pPr>
        <w:spacing w:after="260"/>
      </w:pPr>
      <w:r>
        <w:rPr>
          <w:i/>
          <w:iCs/>
          <w:color w:val="5B5F66"/>
          <w:sz w:val="17"/>
          <w:szCs w:val="17"/>
        </w:rPr>
        <w:t xml:space="preserve">Source: </w:t>
      </w:r>
      <w:proofErr w:type="spellStart"/>
      <w:r>
        <w:rPr>
          <w:i/>
          <w:iCs/>
          <w:color w:val="5B5F66"/>
          <w:sz w:val="17"/>
          <w:szCs w:val="17"/>
        </w:rPr>
        <w:t>Growbeansprout</w:t>
      </w:r>
      <w:proofErr w:type="spellEnd"/>
      <w:r>
        <w:rPr>
          <w:i/>
          <w:iCs/>
          <w:color w:val="5B5F66"/>
          <w:sz w:val="17"/>
          <w:szCs w:val="17"/>
        </w:rPr>
        <w:t xml:space="preserve"> "CPF contribution changes from 1 Jan 2026"; CPF Board Budget 2026 Highlights; DBS "Key CPF changes in 2026."</w:t>
      </w:r>
    </w:p>
    <w:p w14:paraId="58CB8259" w14:textId="77777777" w:rsidR="00740B59" w:rsidRDefault="00000000">
      <w:r>
        <w:br w:type="page"/>
      </w:r>
    </w:p>
    <w:p w14:paraId="12546F7E" w14:textId="77777777" w:rsidR="00740B59" w:rsidRDefault="00000000">
      <w:pPr>
        <w:pStyle w:val="Heading1"/>
        <w:pBdr>
          <w:bottom w:val="single" w:sz="8" w:space="4" w:color="B8860B"/>
        </w:pBdr>
        <w:spacing w:before="420" w:after="200"/>
      </w:pPr>
      <w:r>
        <w:rPr>
          <w:b/>
          <w:bCs/>
          <w:color w:val="1B2A4A"/>
          <w:sz w:val="30"/>
          <w:szCs w:val="30"/>
        </w:rPr>
        <w:lastRenderedPageBreak/>
        <w:t>3. Comparing the Three CPF LIFE Plans</w:t>
      </w:r>
    </w:p>
    <w:p w14:paraId="4C460279" w14:textId="77777777" w:rsidR="00740B59" w:rsidRDefault="00000000">
      <w:pPr>
        <w:spacing w:after="160" w:line="288" w:lineRule="auto"/>
        <w:jc w:val="both"/>
      </w:pPr>
      <w:r>
        <w:rPr>
          <w:color w:val="222222"/>
        </w:rPr>
        <w:t>All CPF LIFE plans convert the same underlying RA balance into lifelong income; they differ in how the payout is shaped over time and what — if anything — is left for beneficiaries. The table below illustrates the differences using a $186,000 RA balance at age 55 (an FRS-era example commonly used in industry comparisons); proportionally similar spreads apply at 2026 sum levels.</w:t>
      </w:r>
    </w:p>
    <w:p w14:paraId="34D9C3A9" w14:textId="77777777" w:rsidR="00740B59" w:rsidRDefault="00000000">
      <w:pPr>
        <w:spacing w:before="200" w:after="100"/>
      </w:pPr>
      <w:r>
        <w:rPr>
          <w:b/>
          <w:bCs/>
          <w:color w:val="1B2A4A"/>
        </w:rPr>
        <w:t>Table 3.1 — Illustrative monthly payout and bequest by plan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48"/>
        <w:gridCol w:w="2672"/>
        <w:gridCol w:w="2673"/>
        <w:gridCol w:w="1007"/>
      </w:tblGrid>
      <w:tr w:rsidR="00740B59" w14:paraId="5AF96C8E" w14:textId="77777777">
        <w:tblPrEx>
          <w:tblCellMar>
            <w:top w:w="0" w:type="dxa"/>
            <w:bottom w:w="0" w:type="dxa"/>
          </w:tblCellMar>
        </w:tblPrEx>
        <w:trPr>
          <w:tblHeader/>
        </w:trPr>
        <w:tc>
          <w:tcPr>
            <w:tcW w:w="3200" w:type="dxa"/>
            <w:shd w:val="clear" w:color="auto" w:fill="1B2A4A"/>
            <w:tcMar>
              <w:top w:w="80" w:type="dxa"/>
              <w:left w:w="110" w:type="dxa"/>
              <w:bottom w:w="80" w:type="dxa"/>
              <w:right w:w="110" w:type="dxa"/>
            </w:tcMar>
            <w:vAlign w:val="center"/>
          </w:tcPr>
          <w:p w14:paraId="2133ECDC" w14:textId="77777777" w:rsidR="00740B59" w:rsidRDefault="00740B59">
            <w:pPr>
              <w:jc w:val="center"/>
            </w:pPr>
          </w:p>
        </w:tc>
        <w:tc>
          <w:tcPr>
            <w:tcW w:w="3000" w:type="dxa"/>
            <w:shd w:val="clear" w:color="auto" w:fill="1B2A4A"/>
            <w:tcMar>
              <w:top w:w="80" w:type="dxa"/>
              <w:left w:w="110" w:type="dxa"/>
              <w:bottom w:w="80" w:type="dxa"/>
              <w:right w:w="110" w:type="dxa"/>
            </w:tcMar>
            <w:vAlign w:val="center"/>
          </w:tcPr>
          <w:p w14:paraId="60126BD1" w14:textId="77777777" w:rsidR="00740B59" w:rsidRDefault="00000000">
            <w:pPr>
              <w:jc w:val="center"/>
            </w:pPr>
            <w:r>
              <w:rPr>
                <w:b/>
                <w:bCs/>
                <w:color w:val="FFFFFF"/>
                <w:sz w:val="19"/>
                <w:szCs w:val="19"/>
              </w:rPr>
              <w:t>Standard Plan</w:t>
            </w:r>
          </w:p>
        </w:tc>
        <w:tc>
          <w:tcPr>
            <w:tcW w:w="3000" w:type="dxa"/>
            <w:shd w:val="clear" w:color="auto" w:fill="1B2A4A"/>
            <w:tcMar>
              <w:top w:w="80" w:type="dxa"/>
              <w:left w:w="110" w:type="dxa"/>
              <w:bottom w:w="80" w:type="dxa"/>
              <w:right w:w="110" w:type="dxa"/>
            </w:tcMar>
            <w:vAlign w:val="center"/>
          </w:tcPr>
          <w:p w14:paraId="3DBF1E19" w14:textId="77777777" w:rsidR="00740B59" w:rsidRDefault="00000000">
            <w:pPr>
              <w:jc w:val="center"/>
            </w:pPr>
            <w:r>
              <w:rPr>
                <w:b/>
                <w:bCs/>
                <w:color w:val="FFFFFF"/>
                <w:sz w:val="19"/>
                <w:szCs w:val="19"/>
              </w:rPr>
              <w:t>Basic Plan</w:t>
            </w:r>
          </w:p>
        </w:tc>
        <w:tc>
          <w:tcPr>
            <w:tcW w:w="0" w:type="auto"/>
            <w:shd w:val="clear" w:color="auto" w:fill="1B2A4A"/>
            <w:tcMar>
              <w:top w:w="80" w:type="dxa"/>
              <w:left w:w="110" w:type="dxa"/>
              <w:bottom w:w="80" w:type="dxa"/>
              <w:right w:w="110" w:type="dxa"/>
            </w:tcMar>
            <w:vAlign w:val="center"/>
          </w:tcPr>
          <w:p w14:paraId="67F27182" w14:textId="77777777" w:rsidR="00740B59" w:rsidRDefault="00000000">
            <w:pPr>
              <w:jc w:val="center"/>
            </w:pPr>
            <w:r>
              <w:rPr>
                <w:b/>
                <w:bCs/>
                <w:color w:val="FFFFFF"/>
                <w:sz w:val="19"/>
                <w:szCs w:val="19"/>
              </w:rPr>
              <w:t>Escalating Plan</w:t>
            </w:r>
          </w:p>
        </w:tc>
      </w:tr>
      <w:tr w:rsidR="00740B59" w14:paraId="4ABAD1A5" w14:textId="77777777">
        <w:tblPrEx>
          <w:tblCellMar>
            <w:top w:w="0" w:type="dxa"/>
            <w:bottom w:w="0" w:type="dxa"/>
          </w:tblCellMar>
        </w:tblPrEx>
        <w:tc>
          <w:tcPr>
            <w:tcW w:w="3200" w:type="dxa"/>
            <w:shd w:val="clear" w:color="auto" w:fill="FFFFFF"/>
            <w:tcMar>
              <w:top w:w="80" w:type="dxa"/>
              <w:left w:w="110" w:type="dxa"/>
              <w:bottom w:w="80" w:type="dxa"/>
              <w:right w:w="110" w:type="dxa"/>
            </w:tcMar>
            <w:vAlign w:val="center"/>
          </w:tcPr>
          <w:p w14:paraId="2DC665BE" w14:textId="77777777" w:rsidR="00740B59" w:rsidRDefault="00000000">
            <w:r>
              <w:rPr>
                <w:color w:val="222222"/>
                <w:sz w:val="19"/>
                <w:szCs w:val="19"/>
              </w:rPr>
              <w:t>Starting monthly payout (age 65)</w:t>
            </w:r>
          </w:p>
        </w:tc>
        <w:tc>
          <w:tcPr>
            <w:tcW w:w="3000" w:type="dxa"/>
            <w:shd w:val="clear" w:color="auto" w:fill="FFFFFF"/>
            <w:tcMar>
              <w:top w:w="80" w:type="dxa"/>
              <w:left w:w="110" w:type="dxa"/>
              <w:bottom w:w="80" w:type="dxa"/>
              <w:right w:w="110" w:type="dxa"/>
            </w:tcMar>
            <w:vAlign w:val="center"/>
          </w:tcPr>
          <w:p w14:paraId="2F3A01EA" w14:textId="77777777" w:rsidR="00740B59" w:rsidRDefault="00000000">
            <w:pPr>
              <w:jc w:val="center"/>
            </w:pPr>
            <w:r>
              <w:rPr>
                <w:color w:val="222222"/>
                <w:sz w:val="19"/>
                <w:szCs w:val="19"/>
              </w:rPr>
              <w:t>$1,478 – $1,635</w:t>
            </w:r>
          </w:p>
        </w:tc>
        <w:tc>
          <w:tcPr>
            <w:tcW w:w="3000" w:type="dxa"/>
            <w:shd w:val="clear" w:color="auto" w:fill="FFFFFF"/>
            <w:tcMar>
              <w:top w:w="80" w:type="dxa"/>
              <w:left w:w="110" w:type="dxa"/>
              <w:bottom w:w="80" w:type="dxa"/>
              <w:right w:w="110" w:type="dxa"/>
            </w:tcMar>
            <w:vAlign w:val="center"/>
          </w:tcPr>
          <w:p w14:paraId="5F684A51" w14:textId="77777777" w:rsidR="00740B59" w:rsidRDefault="00000000">
            <w:pPr>
              <w:jc w:val="center"/>
            </w:pPr>
            <w:r>
              <w:rPr>
                <w:color w:val="222222"/>
                <w:sz w:val="19"/>
                <w:szCs w:val="19"/>
              </w:rPr>
              <w:t>$1,345 – $1,491</w:t>
            </w:r>
          </w:p>
        </w:tc>
        <w:tc>
          <w:tcPr>
            <w:tcW w:w="0" w:type="auto"/>
            <w:shd w:val="clear" w:color="auto" w:fill="FFFFFF"/>
            <w:tcMar>
              <w:top w:w="80" w:type="dxa"/>
              <w:left w:w="110" w:type="dxa"/>
              <w:bottom w:w="80" w:type="dxa"/>
              <w:right w:w="110" w:type="dxa"/>
            </w:tcMar>
            <w:vAlign w:val="center"/>
          </w:tcPr>
          <w:p w14:paraId="3EF7FD3D" w14:textId="77777777" w:rsidR="00740B59" w:rsidRDefault="00000000">
            <w:pPr>
              <w:jc w:val="center"/>
            </w:pPr>
            <w:r>
              <w:rPr>
                <w:color w:val="222222"/>
                <w:sz w:val="19"/>
                <w:szCs w:val="19"/>
              </w:rPr>
              <w:t>$1,162 – $1,297</w:t>
            </w:r>
          </w:p>
        </w:tc>
      </w:tr>
      <w:tr w:rsidR="00740B59" w14:paraId="362F53AC" w14:textId="77777777">
        <w:tblPrEx>
          <w:tblCellMar>
            <w:top w:w="0" w:type="dxa"/>
            <w:bottom w:w="0" w:type="dxa"/>
          </w:tblCellMar>
        </w:tblPrEx>
        <w:tc>
          <w:tcPr>
            <w:tcW w:w="3200" w:type="dxa"/>
            <w:shd w:val="clear" w:color="auto" w:fill="F2F2F2"/>
            <w:tcMar>
              <w:top w:w="80" w:type="dxa"/>
              <w:left w:w="110" w:type="dxa"/>
              <w:bottom w:w="80" w:type="dxa"/>
              <w:right w:w="110" w:type="dxa"/>
            </w:tcMar>
            <w:vAlign w:val="center"/>
          </w:tcPr>
          <w:p w14:paraId="7C098187" w14:textId="77777777" w:rsidR="00740B59" w:rsidRDefault="00000000">
            <w:r>
              <w:rPr>
                <w:color w:val="222222"/>
                <w:sz w:val="19"/>
                <w:szCs w:val="19"/>
              </w:rPr>
              <w:t>Payout trajectory</w:t>
            </w:r>
          </w:p>
        </w:tc>
        <w:tc>
          <w:tcPr>
            <w:tcW w:w="3000" w:type="dxa"/>
            <w:shd w:val="clear" w:color="auto" w:fill="F2F2F2"/>
            <w:tcMar>
              <w:top w:w="80" w:type="dxa"/>
              <w:left w:w="110" w:type="dxa"/>
              <w:bottom w:w="80" w:type="dxa"/>
              <w:right w:w="110" w:type="dxa"/>
            </w:tcMar>
            <w:vAlign w:val="center"/>
          </w:tcPr>
          <w:p w14:paraId="13BB090A" w14:textId="77777777" w:rsidR="00740B59" w:rsidRDefault="00000000">
            <w:pPr>
              <w:jc w:val="center"/>
            </w:pPr>
            <w:r>
              <w:rPr>
                <w:color w:val="222222"/>
                <w:sz w:val="19"/>
                <w:szCs w:val="19"/>
              </w:rPr>
              <w:t>Level for life</w:t>
            </w:r>
          </w:p>
        </w:tc>
        <w:tc>
          <w:tcPr>
            <w:tcW w:w="3000" w:type="dxa"/>
            <w:shd w:val="clear" w:color="auto" w:fill="F2F2F2"/>
            <w:tcMar>
              <w:top w:w="80" w:type="dxa"/>
              <w:left w:w="110" w:type="dxa"/>
              <w:bottom w:w="80" w:type="dxa"/>
              <w:right w:w="110" w:type="dxa"/>
            </w:tcMar>
            <w:vAlign w:val="center"/>
          </w:tcPr>
          <w:p w14:paraId="095674D1" w14:textId="77777777" w:rsidR="00740B59" w:rsidRDefault="00000000">
            <w:pPr>
              <w:jc w:val="center"/>
            </w:pPr>
            <w:r>
              <w:rPr>
                <w:color w:val="222222"/>
                <w:sz w:val="19"/>
                <w:szCs w:val="19"/>
              </w:rPr>
              <w:t>Roughly level, but drops once RA balance &lt; $60,000</w:t>
            </w:r>
          </w:p>
        </w:tc>
        <w:tc>
          <w:tcPr>
            <w:tcW w:w="0" w:type="auto"/>
            <w:shd w:val="clear" w:color="auto" w:fill="F2F2F2"/>
            <w:tcMar>
              <w:top w:w="80" w:type="dxa"/>
              <w:left w:w="110" w:type="dxa"/>
              <w:bottom w:w="80" w:type="dxa"/>
              <w:right w:w="110" w:type="dxa"/>
            </w:tcMar>
            <w:vAlign w:val="center"/>
          </w:tcPr>
          <w:p w14:paraId="54CC2188" w14:textId="77777777" w:rsidR="00740B59" w:rsidRDefault="00000000">
            <w:pPr>
              <w:jc w:val="center"/>
            </w:pPr>
            <w:r>
              <w:rPr>
                <w:color w:val="222222"/>
                <w:sz w:val="19"/>
                <w:szCs w:val="19"/>
              </w:rPr>
              <w:t>+2% every year, for life</w:t>
            </w:r>
          </w:p>
        </w:tc>
      </w:tr>
      <w:tr w:rsidR="00740B59" w14:paraId="7066F315" w14:textId="77777777">
        <w:tblPrEx>
          <w:tblCellMar>
            <w:top w:w="0" w:type="dxa"/>
            <w:bottom w:w="0" w:type="dxa"/>
          </w:tblCellMar>
        </w:tblPrEx>
        <w:tc>
          <w:tcPr>
            <w:tcW w:w="3200" w:type="dxa"/>
            <w:shd w:val="clear" w:color="auto" w:fill="FFFFFF"/>
            <w:tcMar>
              <w:top w:w="80" w:type="dxa"/>
              <w:left w:w="110" w:type="dxa"/>
              <w:bottom w:w="80" w:type="dxa"/>
              <w:right w:w="110" w:type="dxa"/>
            </w:tcMar>
            <w:vAlign w:val="center"/>
          </w:tcPr>
          <w:p w14:paraId="50A9AB39" w14:textId="77777777" w:rsidR="00740B59" w:rsidRDefault="00000000">
            <w:r>
              <w:rPr>
                <w:color w:val="222222"/>
                <w:sz w:val="19"/>
                <w:szCs w:val="19"/>
              </w:rPr>
              <w:t>Bequest at age 75</w:t>
            </w:r>
          </w:p>
        </w:tc>
        <w:tc>
          <w:tcPr>
            <w:tcW w:w="3000" w:type="dxa"/>
            <w:shd w:val="clear" w:color="auto" w:fill="FFFFFF"/>
            <w:tcMar>
              <w:top w:w="80" w:type="dxa"/>
              <w:left w:w="110" w:type="dxa"/>
              <w:bottom w:w="80" w:type="dxa"/>
              <w:right w:w="110" w:type="dxa"/>
            </w:tcMar>
            <w:vAlign w:val="center"/>
          </w:tcPr>
          <w:p w14:paraId="181A9D53" w14:textId="77777777" w:rsidR="00740B59" w:rsidRDefault="00000000">
            <w:pPr>
              <w:jc w:val="center"/>
            </w:pPr>
            <w:r>
              <w:rPr>
                <w:color w:val="222222"/>
                <w:sz w:val="19"/>
                <w:szCs w:val="19"/>
              </w:rPr>
              <w:t>$92,945 – $98,724</w:t>
            </w:r>
          </w:p>
        </w:tc>
        <w:tc>
          <w:tcPr>
            <w:tcW w:w="3000" w:type="dxa"/>
            <w:shd w:val="clear" w:color="auto" w:fill="FFFFFF"/>
            <w:tcMar>
              <w:top w:w="80" w:type="dxa"/>
              <w:left w:w="110" w:type="dxa"/>
              <w:bottom w:w="80" w:type="dxa"/>
              <w:right w:w="110" w:type="dxa"/>
            </w:tcMar>
            <w:vAlign w:val="center"/>
          </w:tcPr>
          <w:p w14:paraId="5012370B" w14:textId="77777777" w:rsidR="00740B59" w:rsidRDefault="00000000">
            <w:pPr>
              <w:jc w:val="center"/>
            </w:pPr>
            <w:r>
              <w:rPr>
                <w:color w:val="222222"/>
                <w:sz w:val="19"/>
                <w:szCs w:val="19"/>
              </w:rPr>
              <w:t>$201,311 – $213,184</w:t>
            </w:r>
          </w:p>
        </w:tc>
        <w:tc>
          <w:tcPr>
            <w:tcW w:w="0" w:type="auto"/>
            <w:shd w:val="clear" w:color="auto" w:fill="FFFFFF"/>
            <w:tcMar>
              <w:top w:w="80" w:type="dxa"/>
              <w:left w:w="110" w:type="dxa"/>
              <w:bottom w:w="80" w:type="dxa"/>
              <w:right w:w="110" w:type="dxa"/>
            </w:tcMar>
            <w:vAlign w:val="center"/>
          </w:tcPr>
          <w:p w14:paraId="65D67C2F" w14:textId="77777777" w:rsidR="00740B59" w:rsidRDefault="00000000">
            <w:pPr>
              <w:jc w:val="center"/>
            </w:pPr>
            <w:r>
              <w:rPr>
                <w:color w:val="222222"/>
                <w:sz w:val="19"/>
                <w:szCs w:val="19"/>
              </w:rPr>
              <w:t>$118,697 – $123,406</w:t>
            </w:r>
          </w:p>
        </w:tc>
      </w:tr>
      <w:tr w:rsidR="00740B59" w14:paraId="6582BA20" w14:textId="77777777">
        <w:tblPrEx>
          <w:tblCellMar>
            <w:top w:w="0" w:type="dxa"/>
            <w:bottom w:w="0" w:type="dxa"/>
          </w:tblCellMar>
        </w:tblPrEx>
        <w:tc>
          <w:tcPr>
            <w:tcW w:w="3200" w:type="dxa"/>
            <w:shd w:val="clear" w:color="auto" w:fill="F2F2F2"/>
            <w:tcMar>
              <w:top w:w="80" w:type="dxa"/>
              <w:left w:w="110" w:type="dxa"/>
              <w:bottom w:w="80" w:type="dxa"/>
              <w:right w:w="110" w:type="dxa"/>
            </w:tcMar>
            <w:vAlign w:val="center"/>
          </w:tcPr>
          <w:p w14:paraId="38886EEE" w14:textId="77777777" w:rsidR="00740B59" w:rsidRDefault="00000000">
            <w:r>
              <w:rPr>
                <w:color w:val="222222"/>
                <w:sz w:val="19"/>
                <w:szCs w:val="19"/>
              </w:rPr>
              <w:t>Bequest at age 85</w:t>
            </w:r>
          </w:p>
        </w:tc>
        <w:tc>
          <w:tcPr>
            <w:tcW w:w="3000" w:type="dxa"/>
            <w:shd w:val="clear" w:color="auto" w:fill="F2F2F2"/>
            <w:tcMar>
              <w:top w:w="80" w:type="dxa"/>
              <w:left w:w="110" w:type="dxa"/>
              <w:bottom w:w="80" w:type="dxa"/>
              <w:right w:w="110" w:type="dxa"/>
            </w:tcMar>
            <w:vAlign w:val="center"/>
          </w:tcPr>
          <w:p w14:paraId="65147581" w14:textId="77777777" w:rsidR="00740B59" w:rsidRDefault="00000000">
            <w:pPr>
              <w:jc w:val="center"/>
            </w:pPr>
            <w:r>
              <w:rPr>
                <w:color w:val="222222"/>
                <w:sz w:val="19"/>
                <w:szCs w:val="19"/>
              </w:rPr>
              <w:t>$0</w:t>
            </w:r>
          </w:p>
        </w:tc>
        <w:tc>
          <w:tcPr>
            <w:tcW w:w="3000" w:type="dxa"/>
            <w:shd w:val="clear" w:color="auto" w:fill="F2F2F2"/>
            <w:tcMar>
              <w:top w:w="80" w:type="dxa"/>
              <w:left w:w="110" w:type="dxa"/>
              <w:bottom w:w="80" w:type="dxa"/>
              <w:right w:w="110" w:type="dxa"/>
            </w:tcMar>
            <w:vAlign w:val="center"/>
          </w:tcPr>
          <w:p w14:paraId="5CECB5EB" w14:textId="77777777" w:rsidR="00740B59" w:rsidRDefault="00000000">
            <w:pPr>
              <w:jc w:val="center"/>
            </w:pPr>
            <w:r>
              <w:rPr>
                <w:color w:val="222222"/>
                <w:sz w:val="19"/>
                <w:szCs w:val="19"/>
              </w:rPr>
              <w:t>$95,685 – $100,815</w:t>
            </w:r>
          </w:p>
        </w:tc>
        <w:tc>
          <w:tcPr>
            <w:tcW w:w="0" w:type="auto"/>
            <w:shd w:val="clear" w:color="auto" w:fill="F2F2F2"/>
            <w:tcMar>
              <w:top w:w="80" w:type="dxa"/>
              <w:left w:w="110" w:type="dxa"/>
              <w:bottom w:w="80" w:type="dxa"/>
              <w:right w:w="110" w:type="dxa"/>
            </w:tcMar>
            <w:vAlign w:val="center"/>
          </w:tcPr>
          <w:p w14:paraId="000BF355" w14:textId="77777777" w:rsidR="00740B59" w:rsidRDefault="00000000">
            <w:pPr>
              <w:jc w:val="center"/>
            </w:pPr>
            <w:r>
              <w:rPr>
                <w:color w:val="222222"/>
                <w:sz w:val="19"/>
                <w:szCs w:val="19"/>
              </w:rPr>
              <w:t>$0</w:t>
            </w:r>
          </w:p>
        </w:tc>
      </w:tr>
      <w:tr w:rsidR="00740B59" w14:paraId="5FE938B1" w14:textId="77777777">
        <w:tblPrEx>
          <w:tblCellMar>
            <w:top w:w="0" w:type="dxa"/>
            <w:bottom w:w="0" w:type="dxa"/>
          </w:tblCellMar>
        </w:tblPrEx>
        <w:tc>
          <w:tcPr>
            <w:tcW w:w="3200" w:type="dxa"/>
            <w:shd w:val="clear" w:color="auto" w:fill="FFFFFF"/>
            <w:tcMar>
              <w:top w:w="80" w:type="dxa"/>
              <w:left w:w="110" w:type="dxa"/>
              <w:bottom w:w="80" w:type="dxa"/>
              <w:right w:w="110" w:type="dxa"/>
            </w:tcMar>
            <w:vAlign w:val="center"/>
          </w:tcPr>
          <w:p w14:paraId="632B4AF2" w14:textId="77777777" w:rsidR="00740B59" w:rsidRDefault="00000000">
            <w:r>
              <w:rPr>
                <w:color w:val="222222"/>
                <w:sz w:val="19"/>
                <w:szCs w:val="19"/>
              </w:rPr>
              <w:t>Bequest at age 92+</w:t>
            </w:r>
          </w:p>
        </w:tc>
        <w:tc>
          <w:tcPr>
            <w:tcW w:w="3000" w:type="dxa"/>
            <w:shd w:val="clear" w:color="auto" w:fill="FFFFFF"/>
            <w:tcMar>
              <w:top w:w="80" w:type="dxa"/>
              <w:left w:w="110" w:type="dxa"/>
              <w:bottom w:w="80" w:type="dxa"/>
              <w:right w:w="110" w:type="dxa"/>
            </w:tcMar>
            <w:vAlign w:val="center"/>
          </w:tcPr>
          <w:p w14:paraId="0EE70DEB" w14:textId="77777777" w:rsidR="00740B59" w:rsidRDefault="00000000">
            <w:pPr>
              <w:jc w:val="center"/>
            </w:pPr>
            <w:r>
              <w:rPr>
                <w:color w:val="222222"/>
                <w:sz w:val="19"/>
                <w:szCs w:val="19"/>
              </w:rPr>
              <w:t>$0</w:t>
            </w:r>
          </w:p>
        </w:tc>
        <w:tc>
          <w:tcPr>
            <w:tcW w:w="3000" w:type="dxa"/>
            <w:shd w:val="clear" w:color="auto" w:fill="FFFFFF"/>
            <w:tcMar>
              <w:top w:w="80" w:type="dxa"/>
              <w:left w:w="110" w:type="dxa"/>
              <w:bottom w:w="80" w:type="dxa"/>
              <w:right w:w="110" w:type="dxa"/>
            </w:tcMar>
            <w:vAlign w:val="center"/>
          </w:tcPr>
          <w:p w14:paraId="510DA858" w14:textId="77777777" w:rsidR="00740B59" w:rsidRDefault="00000000">
            <w:pPr>
              <w:jc w:val="center"/>
            </w:pPr>
            <w:r>
              <w:rPr>
                <w:color w:val="222222"/>
                <w:sz w:val="19"/>
                <w:szCs w:val="19"/>
              </w:rPr>
              <w:t>$0</w:t>
            </w:r>
          </w:p>
        </w:tc>
        <w:tc>
          <w:tcPr>
            <w:tcW w:w="0" w:type="auto"/>
            <w:shd w:val="clear" w:color="auto" w:fill="FFFFFF"/>
            <w:tcMar>
              <w:top w:w="80" w:type="dxa"/>
              <w:left w:w="110" w:type="dxa"/>
              <w:bottom w:w="80" w:type="dxa"/>
              <w:right w:w="110" w:type="dxa"/>
            </w:tcMar>
            <w:vAlign w:val="center"/>
          </w:tcPr>
          <w:p w14:paraId="140005BF" w14:textId="77777777" w:rsidR="00740B59" w:rsidRDefault="00000000">
            <w:pPr>
              <w:jc w:val="center"/>
            </w:pPr>
            <w:r>
              <w:rPr>
                <w:color w:val="222222"/>
                <w:sz w:val="19"/>
                <w:szCs w:val="19"/>
              </w:rPr>
              <w:t>$0</w:t>
            </w:r>
          </w:p>
        </w:tc>
      </w:tr>
    </w:tbl>
    <w:p w14:paraId="1130C302" w14:textId="77777777" w:rsidR="00740B59" w:rsidRDefault="00000000">
      <w:pPr>
        <w:spacing w:after="260"/>
      </w:pPr>
      <w:r>
        <w:rPr>
          <w:i/>
          <w:iCs/>
          <w:color w:val="5B5F66"/>
          <w:sz w:val="17"/>
          <w:szCs w:val="17"/>
        </w:rPr>
        <w:t xml:space="preserve">Source: </w:t>
      </w:r>
      <w:proofErr w:type="spellStart"/>
      <w:r>
        <w:rPr>
          <w:i/>
          <w:iCs/>
          <w:color w:val="5B5F66"/>
          <w:sz w:val="17"/>
          <w:szCs w:val="17"/>
        </w:rPr>
        <w:t>DollarsAndSense</w:t>
      </w:r>
      <w:proofErr w:type="spellEnd"/>
      <w:r>
        <w:rPr>
          <w:i/>
          <w:iCs/>
          <w:color w:val="5B5F66"/>
          <w:sz w:val="17"/>
          <w:szCs w:val="17"/>
        </w:rPr>
        <w:t>, "CPF LIFE Standard, Basic Or Escalating Plan" — worked example on a $186,000 RA balance; figures are illustrative and vary by gender, cohort and exact RA balance.</w:t>
      </w:r>
    </w:p>
    <w:p w14:paraId="16B5DC00" w14:textId="77777777" w:rsidR="00740B59" w:rsidRDefault="00000000">
      <w:pPr>
        <w:pStyle w:val="Heading2"/>
        <w:spacing w:before="280" w:after="140"/>
      </w:pPr>
      <w:r>
        <w:rPr>
          <w:b/>
          <w:bCs/>
          <w:color w:val="0F6E6E"/>
          <w:sz w:val="24"/>
          <w:szCs w:val="24"/>
        </w:rPr>
        <w:t>3.1 Standard Plan</w:t>
      </w:r>
    </w:p>
    <w:p w14:paraId="59C5AF49" w14:textId="77777777" w:rsidR="00740B59" w:rsidRDefault="00000000">
      <w:pPr>
        <w:spacing w:after="160" w:line="288" w:lineRule="auto"/>
        <w:jc w:val="both"/>
      </w:pPr>
      <w:r>
        <w:rPr>
          <w:color w:val="222222"/>
        </w:rPr>
        <w:t>The most commonly chosen plan (and the default if no election is made). It pays a level monthly amount for life. Roughly 90% of the RA balance is committed as the annuity premium, with the balance held as a bequest reserve that shrinks over time and is exhausted for most members by their mid-to-late 70s to 80s — after which payouts continue purely from pooled interest, with nothing left to bequeath.</w:t>
      </w:r>
    </w:p>
    <w:p w14:paraId="0FE261B5" w14:textId="77777777" w:rsidR="00740B59" w:rsidRDefault="00000000">
      <w:pPr>
        <w:pStyle w:val="Heading2"/>
        <w:spacing w:before="280" w:after="140"/>
      </w:pPr>
      <w:r>
        <w:rPr>
          <w:b/>
          <w:bCs/>
          <w:color w:val="0F6E6E"/>
          <w:sz w:val="24"/>
          <w:szCs w:val="24"/>
        </w:rPr>
        <w:t>3.2 Basic Plan</w:t>
      </w:r>
    </w:p>
    <w:p w14:paraId="7ACB1C97" w14:textId="77777777" w:rsidR="00740B59" w:rsidRDefault="00000000">
      <w:pPr>
        <w:spacing w:after="160" w:line="288" w:lineRule="auto"/>
        <w:jc w:val="both"/>
      </w:pPr>
      <w:r>
        <w:rPr>
          <w:color w:val="222222"/>
        </w:rPr>
        <w:t>Deducts a smaller share of the RA balance up front (roughly 10–20%) as the annuity premium, leaving the rest to be drawn down directly to fund payouts until around age 90, with interest continuing to accrue on the un-</w:t>
      </w:r>
      <w:proofErr w:type="spellStart"/>
      <w:r>
        <w:rPr>
          <w:color w:val="222222"/>
        </w:rPr>
        <w:t>annuitised</w:t>
      </w:r>
      <w:proofErr w:type="spellEnd"/>
      <w:r>
        <w:rPr>
          <w:color w:val="222222"/>
        </w:rPr>
        <w:t xml:space="preserve"> portion. This produces a lower starting payout than Standard, but preserves a materially larger bequest in the first 15–20 years of retirement (see Table 3.1) — the trade-off is that once the un-</w:t>
      </w:r>
      <w:proofErr w:type="spellStart"/>
      <w:r>
        <w:rPr>
          <w:color w:val="222222"/>
        </w:rPr>
        <w:t>annuitised</w:t>
      </w:r>
      <w:proofErr w:type="spellEnd"/>
      <w:r>
        <w:rPr>
          <w:color w:val="222222"/>
        </w:rPr>
        <w:t xml:space="preserve"> RA balance is exhausted, payouts drawn purely from the annuity pool tend to run lower than the equivalent Standard Plan payout from that point on.</w:t>
      </w:r>
    </w:p>
    <w:p w14:paraId="5D14C3C4" w14:textId="77777777" w:rsidR="00740B59" w:rsidRDefault="00000000">
      <w:pPr>
        <w:pStyle w:val="Heading2"/>
        <w:spacing w:before="280" w:after="140"/>
      </w:pPr>
      <w:r>
        <w:rPr>
          <w:b/>
          <w:bCs/>
          <w:color w:val="0F6E6E"/>
          <w:sz w:val="24"/>
          <w:szCs w:val="24"/>
        </w:rPr>
        <w:t>3.3 Escalating Plan</w:t>
      </w:r>
    </w:p>
    <w:p w14:paraId="00A71A3D" w14:textId="77777777" w:rsidR="00740B59" w:rsidRDefault="00000000">
      <w:pPr>
        <w:spacing w:after="160" w:line="288" w:lineRule="auto"/>
        <w:jc w:val="both"/>
      </w:pPr>
      <w:r>
        <w:rPr>
          <w:color w:val="222222"/>
        </w:rPr>
        <w:t xml:space="preserve">Starts around 10–20% below the Standard Plan payout but grows 2% every year, compounding for life. A starting payout of roughly $720/month at 65 would reach approximately $1,070 by 85 and $1,310 by 95 under the illustrative growth path — explicit inflation-hedging that the flat Standard Plan does not offer. The trade-off is a materially lower income in the first decade or more of retirement, which only overtakes the Standard Plan's </w:t>
      </w:r>
      <w:r>
        <w:rPr>
          <w:color w:val="222222"/>
        </w:rPr>
        <w:lastRenderedPageBreak/>
        <w:t>cumulative payout well into the second decade after payout start (typically member's late 70s to mid-80s, depending on RA balance and gender-specific pricing).</w:t>
      </w:r>
    </w:p>
    <w:p w14:paraId="25A63615" w14:textId="77777777" w:rsidR="00740B59" w:rsidRDefault="00000000">
      <w:pPr>
        <w:pStyle w:val="Heading2"/>
        <w:spacing w:before="280" w:after="140"/>
      </w:pPr>
      <w:r>
        <w:rPr>
          <w:b/>
          <w:bCs/>
          <w:color w:val="0F6E6E"/>
          <w:sz w:val="24"/>
          <w:szCs w:val="24"/>
        </w:rPr>
        <w:t>3.4 Choosing between them</w:t>
      </w:r>
    </w:p>
    <w:p w14:paraId="747585A4" w14:textId="77777777" w:rsidR="00740B59" w:rsidRDefault="00000000">
      <w:pPr>
        <w:pStyle w:val="ListParagraph"/>
        <w:numPr>
          <w:ilvl w:val="0"/>
          <w:numId w:val="2"/>
        </w:numPr>
        <w:spacing w:after="90" w:line="276" w:lineRule="auto"/>
      </w:pPr>
      <w:r>
        <w:rPr>
          <w:color w:val="222222"/>
        </w:rPr>
        <w:t>Standard Plan suits members who want the highest early-retirement income and are comfortable that nothing will remain for beneficiaries once balances are drawn down — a common choice among those with other bequest vehicles (property, insurance, investments).</w:t>
      </w:r>
    </w:p>
    <w:p w14:paraId="5B94CAE4" w14:textId="77777777" w:rsidR="00740B59" w:rsidRDefault="00000000">
      <w:pPr>
        <w:pStyle w:val="ListParagraph"/>
        <w:numPr>
          <w:ilvl w:val="0"/>
          <w:numId w:val="2"/>
        </w:numPr>
        <w:spacing w:after="90" w:line="276" w:lineRule="auto"/>
      </w:pPr>
      <w:r>
        <w:rPr>
          <w:color w:val="222222"/>
        </w:rPr>
        <w:t>Basic Plan suits members who prioritise leaving a meaningful legacy in the first 15–20 years of retirement, and are willing to accept lower income in exchange.</w:t>
      </w:r>
    </w:p>
    <w:p w14:paraId="76387B0B" w14:textId="77777777" w:rsidR="00740B59" w:rsidRDefault="00000000">
      <w:pPr>
        <w:pStyle w:val="ListParagraph"/>
        <w:numPr>
          <w:ilvl w:val="0"/>
          <w:numId w:val="2"/>
        </w:numPr>
        <w:spacing w:after="90" w:line="276" w:lineRule="auto"/>
      </w:pPr>
      <w:r>
        <w:rPr>
          <w:color w:val="222222"/>
        </w:rPr>
        <w:t>Escalating Plan suits members most worried about inflation eroding purchasing power over a long retirement, and who can tolerate a lower income in the early, typically more active, years of retirement.</w:t>
      </w:r>
    </w:p>
    <w:p w14:paraId="6FD55C9D" w14:textId="77777777" w:rsidR="00740B59" w:rsidRDefault="00000000">
      <w:pPr>
        <w:pStyle w:val="ListParagraph"/>
        <w:numPr>
          <w:ilvl w:val="0"/>
          <w:numId w:val="2"/>
        </w:numPr>
        <w:spacing w:after="90" w:line="276" w:lineRule="auto"/>
      </w:pPr>
      <w:r>
        <w:rPr>
          <w:color w:val="222222"/>
        </w:rPr>
        <w:t>The plan choice is irrevocable once made — CPF does not allow switching plans after enrolment (aside from the pre-payout-age election window), so this deserves the same deliberation as any other irreversible retirement decision.</w:t>
      </w:r>
    </w:p>
    <w:p w14:paraId="674EEA65" w14:textId="77777777" w:rsidR="00740B59" w:rsidRDefault="00000000">
      <w:r>
        <w:br w:type="page"/>
      </w:r>
    </w:p>
    <w:p w14:paraId="59830C2B" w14:textId="77777777" w:rsidR="00740B59" w:rsidRDefault="00000000">
      <w:pPr>
        <w:pStyle w:val="Heading1"/>
        <w:pBdr>
          <w:bottom w:val="single" w:sz="8" w:space="4" w:color="B8860B"/>
        </w:pBdr>
        <w:spacing w:before="420" w:after="200"/>
      </w:pPr>
      <w:r>
        <w:rPr>
          <w:b/>
          <w:bCs/>
          <w:color w:val="1B2A4A"/>
          <w:sz w:val="30"/>
          <w:szCs w:val="30"/>
        </w:rPr>
        <w:lastRenderedPageBreak/>
        <w:t>4. Payout Eligibility Age and Deferral</w:t>
      </w:r>
    </w:p>
    <w:p w14:paraId="1376A18B" w14:textId="77777777" w:rsidR="00740B59" w:rsidRDefault="00000000">
      <w:pPr>
        <w:pStyle w:val="Heading2"/>
        <w:spacing w:before="280" w:after="140"/>
      </w:pPr>
      <w:r>
        <w:rPr>
          <w:b/>
          <w:bCs/>
          <w:color w:val="0F6E6E"/>
          <w:sz w:val="24"/>
          <w:szCs w:val="24"/>
        </w:rPr>
        <w:t>4.1 The payout eligibility age</w:t>
      </w:r>
    </w:p>
    <w:p w14:paraId="492015C1" w14:textId="77777777" w:rsidR="00740B59" w:rsidRDefault="00000000">
      <w:pPr>
        <w:spacing w:after="160" w:line="288" w:lineRule="auto"/>
        <w:jc w:val="both"/>
      </w:pPr>
      <w:r>
        <w:rPr>
          <w:color w:val="222222"/>
        </w:rPr>
        <w:t>CPF LIFE payouts can start any time from age 65 (the statutory Payout Eligibility Age) up to age 70. If a member gives no instruction, payouts start automatically at 70. Unlike the retirement sums, which rise by cohort, the Payout Eligibility Age itself has been held at 65 for members born in 1954 or later — there is no current legislative move to raise it further, though this is periodically debated in the context of rising life expectancy (see Section 8).</w:t>
      </w:r>
    </w:p>
    <w:p w14:paraId="6EEF7928" w14:textId="77777777" w:rsidR="00740B59" w:rsidRDefault="00000000">
      <w:pPr>
        <w:pStyle w:val="Heading2"/>
        <w:spacing w:before="280" w:after="140"/>
      </w:pPr>
      <w:r>
        <w:rPr>
          <w:b/>
          <w:bCs/>
          <w:color w:val="0F6E6E"/>
          <w:sz w:val="24"/>
          <w:szCs w:val="24"/>
        </w:rPr>
        <w:t>4.2 Deferral mechanics</w:t>
      </w:r>
    </w:p>
    <w:p w14:paraId="7407F0E2" w14:textId="77777777" w:rsidR="00740B59" w:rsidRDefault="00000000">
      <w:pPr>
        <w:spacing w:after="160" w:line="288" w:lineRule="auto"/>
        <w:jc w:val="both"/>
      </w:pPr>
      <w:r>
        <w:rPr>
          <w:color w:val="222222"/>
        </w:rPr>
        <w:t>Deferring the payout start increases the monthly amount by up to 7% for every year deferred, compounding to a maximum roughly 35–40% higher payout at 70 versus 65 (the exact percentage depends on gender and plan, since pricing reflects sex-specific life expectancy and the specific payout curve of the chosen plan). CPF Board's own worked example: a 55-year-old male with $220,400 in his Retirement Account (the 2026 FRS) on the Standard Plan would receive about $1,780/month starting at 65, versus about $2,380/month starting at 70 — a $600, roughly 34%, uplift for the five-year wait.</w:t>
      </w:r>
    </w:p>
    <w:p w14:paraId="6FB109F5" w14:textId="77777777" w:rsidR="00740B59" w:rsidRDefault="00000000">
      <w:pPr>
        <w:pStyle w:val="Heading2"/>
        <w:spacing w:before="280" w:after="140"/>
      </w:pPr>
      <w:r>
        <w:rPr>
          <w:b/>
          <w:bCs/>
          <w:color w:val="0F6E6E"/>
          <w:sz w:val="24"/>
          <w:szCs w:val="24"/>
        </w:rPr>
        <w:t>4.3 How to think about the deferral decision</w:t>
      </w:r>
    </w:p>
    <w:p w14:paraId="75D7DF95" w14:textId="77777777" w:rsidR="00740B59" w:rsidRDefault="00000000">
      <w:pPr>
        <w:spacing w:after="160" w:line="288" w:lineRule="auto"/>
        <w:jc w:val="both"/>
      </w:pPr>
      <w:r>
        <w:rPr>
          <w:color w:val="222222"/>
        </w:rPr>
        <w:t>Deferral is, in effect, buying more annuity with money that would otherwise have been paid out and spent (or invested) between 65 and 70 — the RA balance continues to earn CPF's Retirement Account interest rate (with the 4% floor, see Section 5) during the deferral window, which is credited into a materially higher payout base. Financially, deferral tends to pay off if the member expects to live well past the "break-even" age — typically the late 70s to early 80s, depending on plan and gender — since it maximises income over a genuinely uncertain lifespan. It is a weaker choice for members who need income sooner (e.g., to bridge from an earlier retirement) or who have strong reasons to expect a shorter-than-average lifespan.</w:t>
      </w:r>
    </w:p>
    <w:p w14:paraId="75A94066" w14:textId="77777777" w:rsidR="00740B59" w:rsidRDefault="00000000">
      <w:pPr>
        <w:pBdr>
          <w:left w:val="single" w:sz="24" w:space="8" w:color="B8860B"/>
        </w:pBdr>
        <w:shd w:val="clear" w:color="auto" w:fill="FBF3E1"/>
        <w:spacing w:before="120" w:after="200"/>
        <w:ind w:left="120"/>
      </w:pPr>
      <w:r>
        <w:rPr>
          <w:b/>
          <w:bCs/>
          <w:color w:val="B8860B"/>
          <w:sz w:val="20"/>
          <w:szCs w:val="20"/>
        </w:rPr>
        <w:t xml:space="preserve">For your simulator:  </w:t>
      </w:r>
      <w:r>
        <w:rPr>
          <w:color w:val="333333"/>
          <w:sz w:val="20"/>
          <w:szCs w:val="20"/>
        </w:rPr>
        <w:t>The deferral uplift is not a flat 7% x years — CPF applies it to the underlying annuity pricing curve, so a proper model should treat deferral as re-pricing the annuity at the later age using the RA balance grown at the deferral-period interest rate, rather than a simple percentage bump on the age-65 payout.</w:t>
      </w:r>
    </w:p>
    <w:p w14:paraId="79189132" w14:textId="77777777" w:rsidR="00740B59" w:rsidRDefault="00000000">
      <w:pPr>
        <w:spacing w:after="260"/>
      </w:pPr>
      <w:r>
        <w:rPr>
          <w:i/>
          <w:iCs/>
          <w:color w:val="5B5F66"/>
          <w:sz w:val="17"/>
          <w:szCs w:val="17"/>
        </w:rPr>
        <w:t>Source: CPF Board, "Should you defer your CPF LIFE payouts?" and "What is the CPF LIFE payout age?" (cpf.gov.sg).</w:t>
      </w:r>
    </w:p>
    <w:p w14:paraId="3E872D04" w14:textId="77777777" w:rsidR="00740B59" w:rsidRDefault="00000000">
      <w:r>
        <w:br w:type="page"/>
      </w:r>
    </w:p>
    <w:p w14:paraId="62D6C40C" w14:textId="77777777" w:rsidR="00740B59" w:rsidRDefault="00000000">
      <w:pPr>
        <w:pStyle w:val="Heading1"/>
        <w:pBdr>
          <w:bottom w:val="single" w:sz="8" w:space="4" w:color="B8860B"/>
        </w:pBdr>
        <w:spacing w:before="420" w:after="200"/>
      </w:pPr>
      <w:r>
        <w:rPr>
          <w:b/>
          <w:bCs/>
          <w:color w:val="1B2A4A"/>
          <w:sz w:val="30"/>
          <w:szCs w:val="30"/>
        </w:rPr>
        <w:lastRenderedPageBreak/>
        <w:t>5. Financial Mechanics: Premiums, Pooling and Interest</w:t>
      </w:r>
    </w:p>
    <w:p w14:paraId="642BF924" w14:textId="77777777" w:rsidR="00740B59" w:rsidRDefault="00000000">
      <w:pPr>
        <w:pStyle w:val="Heading2"/>
        <w:spacing w:before="280" w:after="140"/>
      </w:pPr>
      <w:r>
        <w:rPr>
          <w:b/>
          <w:bCs/>
          <w:color w:val="0F6E6E"/>
          <w:sz w:val="24"/>
          <w:szCs w:val="24"/>
        </w:rPr>
        <w:t>5.1 How the RA balance becomes an annuity premium</w:t>
      </w:r>
    </w:p>
    <w:p w14:paraId="0601D2CB" w14:textId="77777777" w:rsidR="00740B59" w:rsidRDefault="00000000">
      <w:pPr>
        <w:spacing w:after="160" w:line="288" w:lineRule="auto"/>
        <w:jc w:val="both"/>
      </w:pPr>
      <w:r>
        <w:rPr>
          <w:color w:val="222222"/>
        </w:rPr>
        <w:t>For the Standard and Escalating Plans, the entire RA balance at payout start becomes the CPF LIFE premium — there is no separate un-</w:t>
      </w:r>
      <w:proofErr w:type="spellStart"/>
      <w:r>
        <w:rPr>
          <w:color w:val="222222"/>
        </w:rPr>
        <w:t>annuitised</w:t>
      </w:r>
      <w:proofErr w:type="spellEnd"/>
      <w:r>
        <w:rPr>
          <w:color w:val="222222"/>
        </w:rPr>
        <w:t xml:space="preserve"> reserve. For the Basic Plan, only about 10–20% of the RA balance is committed as premium; the remaining 80–90% stays in the member's RA, continues earning CPF interest, and is drawn down directly to fund monthly payouts until roughly age 90, at which point the annuity premium (plus its share of pooled interest) takes over. In every plan, monthly payouts are first paid out of the member's own premium; once that individual premium is exhausted, the member continues to receive payouts funded by the pooled interest of the Lifelong Income Fund.</w:t>
      </w:r>
    </w:p>
    <w:p w14:paraId="0F005AC4" w14:textId="77777777" w:rsidR="00740B59" w:rsidRDefault="00000000">
      <w:pPr>
        <w:pStyle w:val="Heading2"/>
        <w:spacing w:before="280" w:after="140"/>
      </w:pPr>
      <w:r>
        <w:rPr>
          <w:b/>
          <w:bCs/>
          <w:color w:val="0F6E6E"/>
          <w:sz w:val="24"/>
          <w:szCs w:val="24"/>
        </w:rPr>
        <w:t>5.2 Risk pooling and the Lifelong Income Fund</w:t>
      </w:r>
    </w:p>
    <w:p w14:paraId="1BA6BA57" w14:textId="77777777" w:rsidR="00740B59" w:rsidRDefault="00000000">
      <w:pPr>
        <w:spacing w:after="160" w:line="288" w:lineRule="auto"/>
        <w:jc w:val="both"/>
      </w:pPr>
      <w:r>
        <w:rPr>
          <w:color w:val="222222"/>
        </w:rPr>
        <w:t>CPF LIFE premiums from all members are pooled together and continue to earn interest collectively. Structurally, this is standard mutual-insurance mechanics: members who pass away before their individual premium (and its accumulated interest) is exhausted leave the unused interest portion in the pool — CPF returns any remaining principal-plus-accrued-interest bequest to the deceased member's beneficiaries, but the interest that would otherwise have continued accruing on their behalf is redirected to fund payouts for surviving members. This cross-subsidy from shorter-lived to longer-lived members is exactly what allows CPF LIFE to guarantee income for an unknown lifespan without requiring every member to individually over-save against the small but real chance of living to 100.</w:t>
      </w:r>
    </w:p>
    <w:p w14:paraId="66476ABA" w14:textId="77777777" w:rsidR="00740B59" w:rsidRDefault="00000000">
      <w:pPr>
        <w:pStyle w:val="Heading2"/>
        <w:spacing w:before="280" w:after="140"/>
      </w:pPr>
      <w:r>
        <w:rPr>
          <w:b/>
          <w:bCs/>
          <w:color w:val="0F6E6E"/>
          <w:sz w:val="24"/>
          <w:szCs w:val="24"/>
        </w:rPr>
        <w:t>5.3 Interest rates and the government subsidy</w:t>
      </w:r>
    </w:p>
    <w:p w14:paraId="5CD65A94" w14:textId="77777777" w:rsidR="00740B59" w:rsidRDefault="00000000">
      <w:pPr>
        <w:spacing w:after="160" w:line="288" w:lineRule="auto"/>
        <w:jc w:val="both"/>
      </w:pPr>
      <w:r>
        <w:rPr>
          <w:color w:val="222222"/>
        </w:rPr>
        <w:t xml:space="preserve">CPF Special, </w:t>
      </w:r>
      <w:proofErr w:type="spellStart"/>
      <w:r>
        <w:rPr>
          <w:color w:val="222222"/>
        </w:rPr>
        <w:t>MediSave</w:t>
      </w:r>
      <w:proofErr w:type="spellEnd"/>
      <w:r>
        <w:rPr>
          <w:color w:val="222222"/>
        </w:rPr>
        <w:t xml:space="preserve"> and Retirement Account (SMRA) monies — including the RA balances that fund CPF LIFE — earn interest pegged to the 12-month average yield of the 10-year Singapore Government Security plus 1%, subject to a legislated 4% per annum floor. Where market-derived yields would produce a rate below 4%, the government pays the shortfall itself; this floor has been extended annually and now runs through 31 December 2026. On top of the base rate, members aged 55 and above earn extra interest of up to 2% on the first $30,000 of combined balances and up to 1% on the next $30,000 (below 55, the extra tier is up to 1% on the first $60,000) — both extra-interest tiers are also government-funded rather than drawn from the pooled fund, which is one reason CPF LIFE can outperform actuarially-neutral private annuity pricing.</w:t>
      </w:r>
    </w:p>
    <w:p w14:paraId="265DC705" w14:textId="77777777" w:rsidR="00740B59" w:rsidRDefault="00000000">
      <w:pPr>
        <w:pStyle w:val="Heading2"/>
        <w:spacing w:before="280" w:after="140"/>
      </w:pPr>
      <w:r>
        <w:rPr>
          <w:b/>
          <w:bCs/>
          <w:color w:val="0F6E6E"/>
          <w:sz w:val="24"/>
          <w:szCs w:val="24"/>
        </w:rPr>
        <w:t>5.4 Why CPF LIFE offers unusually good value</w:t>
      </w:r>
    </w:p>
    <w:p w14:paraId="76A8C9D4" w14:textId="77777777" w:rsidR="00740B59" w:rsidRDefault="00000000">
      <w:pPr>
        <w:spacing w:after="160" w:line="288" w:lineRule="auto"/>
        <w:jc w:val="both"/>
      </w:pPr>
      <w:r>
        <w:rPr>
          <w:color w:val="222222"/>
        </w:rPr>
        <w:t>Independent, peer-reviewed research (published in the Journal of Pension Economics &amp; Finance, examining CPF LIFE against actuarially fair pricing) found CPF LIFE's money's-worth ratio — the expected present value of payouts per dollar of premium — ranged from about 1.02 to 1.19 for men and 0.97 to 1.17 for women, even under conservative mortality-improvement assumptions (worst-case scenario ratios still exceeded 0.95). By contrast, typical private-market annuities return only about 0.80–0.90 per dollar of premium. The paper attributes CPF LIFE's advantage to three structural features: mandatory participation eliminates adverse selection (voluntary annuity buyers tend to be healthier and longer-lived, forcing insurers to price conservatively for everyone); non-profit, no-commission administration avoids private distribution costs; and CPF's very large member base spreads administrative and mortality risk more efficiently than any single private insurer's book can.</w:t>
      </w:r>
    </w:p>
    <w:p w14:paraId="4453C100" w14:textId="77777777" w:rsidR="00740B59" w:rsidRDefault="00000000">
      <w:pPr>
        <w:spacing w:after="260"/>
      </w:pPr>
      <w:r>
        <w:rPr>
          <w:i/>
          <w:iCs/>
          <w:color w:val="5B5F66"/>
          <w:sz w:val="17"/>
          <w:szCs w:val="17"/>
        </w:rPr>
        <w:lastRenderedPageBreak/>
        <w:t>Source: Cambridge University Press / Journal of Pension Economics &amp; Finance, "Mandatory annuitization and money's worth: evidence from Singapore"; CPF Board, "CPF LIFE premiums: how does it work?", "How risk-pooling supports lifelong CPF LIFE payouts"; CPF Board news release, 4% interest floor extension to 31 Dec 2026.</w:t>
      </w:r>
    </w:p>
    <w:p w14:paraId="5C2007EC" w14:textId="77777777" w:rsidR="00740B59" w:rsidRDefault="00000000">
      <w:r>
        <w:br w:type="page"/>
      </w:r>
    </w:p>
    <w:p w14:paraId="53DCCA4A" w14:textId="77777777" w:rsidR="00740B59" w:rsidRDefault="00000000">
      <w:pPr>
        <w:pStyle w:val="Heading1"/>
        <w:pBdr>
          <w:bottom w:val="single" w:sz="8" w:space="4" w:color="B8860B"/>
        </w:pBdr>
        <w:spacing w:before="420" w:after="200"/>
      </w:pPr>
      <w:r>
        <w:rPr>
          <w:b/>
          <w:bCs/>
          <w:color w:val="1B2A4A"/>
          <w:sz w:val="30"/>
          <w:szCs w:val="30"/>
        </w:rPr>
        <w:lastRenderedPageBreak/>
        <w:t>6. Advantages and Drawbacks</w:t>
      </w:r>
    </w:p>
    <w:p w14:paraId="584965C1" w14:textId="77777777" w:rsidR="00740B59" w:rsidRDefault="00000000">
      <w:pPr>
        <w:pStyle w:val="Heading2"/>
        <w:spacing w:before="280" w:after="140"/>
      </w:pPr>
      <w:r>
        <w:rPr>
          <w:b/>
          <w:bCs/>
          <w:color w:val="0F6E6E"/>
          <w:sz w:val="24"/>
          <w:szCs w:val="24"/>
        </w:rPr>
        <w:t>6.1 Advantages</w:t>
      </w:r>
    </w:p>
    <w:p w14:paraId="12D17408" w14:textId="77777777" w:rsidR="00740B59" w:rsidRDefault="00000000">
      <w:pPr>
        <w:pStyle w:val="ListParagraph"/>
        <w:numPr>
          <w:ilvl w:val="0"/>
          <w:numId w:val="2"/>
        </w:numPr>
        <w:spacing w:after="90" w:line="276" w:lineRule="auto"/>
      </w:pPr>
      <w:r>
        <w:rPr>
          <w:b/>
          <w:bCs/>
        </w:rPr>
        <w:t xml:space="preserve">Longevity risk fully removed: </w:t>
      </w:r>
      <w:r>
        <w:t>income continues for life, however long that is — the single risk that no amount of personal saving discipline can fully self-insure against.</w:t>
      </w:r>
    </w:p>
    <w:p w14:paraId="085D255C" w14:textId="77777777" w:rsidR="00740B59" w:rsidRDefault="00000000">
      <w:pPr>
        <w:pStyle w:val="ListParagraph"/>
        <w:numPr>
          <w:ilvl w:val="0"/>
          <w:numId w:val="2"/>
        </w:numPr>
        <w:spacing w:after="90" w:line="276" w:lineRule="auto"/>
      </w:pPr>
      <w:r>
        <w:rPr>
          <w:b/>
          <w:bCs/>
        </w:rPr>
        <w:t xml:space="preserve">Superior pricing versus private annuities: </w:t>
      </w:r>
      <w:r>
        <w:t>money's-worth ratios above 1.0 in many scenarios (Section 5.4), versus 0.80–0.90 typical of the private market.</w:t>
      </w:r>
    </w:p>
    <w:p w14:paraId="786EF4B7" w14:textId="77777777" w:rsidR="00740B59" w:rsidRDefault="00000000">
      <w:pPr>
        <w:pStyle w:val="ListParagraph"/>
        <w:numPr>
          <w:ilvl w:val="0"/>
          <w:numId w:val="2"/>
        </w:numPr>
        <w:spacing w:after="90" w:line="276" w:lineRule="auto"/>
      </w:pPr>
      <w:r>
        <w:rPr>
          <w:b/>
          <w:bCs/>
        </w:rPr>
        <w:t xml:space="preserve">Government-guaranteed and low-cost: </w:t>
      </w:r>
      <w:r>
        <w:t>no commissions, no distribution costs, no counterparty risk in the way a private insurer carries some (however small in Singapore's tightly-regulated market).</w:t>
      </w:r>
    </w:p>
    <w:p w14:paraId="53AEF675" w14:textId="77777777" w:rsidR="00740B59" w:rsidRDefault="00000000">
      <w:pPr>
        <w:pStyle w:val="ListParagraph"/>
        <w:numPr>
          <w:ilvl w:val="0"/>
          <w:numId w:val="2"/>
        </w:numPr>
        <w:spacing w:after="90" w:line="276" w:lineRule="auto"/>
      </w:pPr>
      <w:r>
        <w:rPr>
          <w:b/>
          <w:bCs/>
        </w:rPr>
        <w:t xml:space="preserve">Interest-rate protection: </w:t>
      </w:r>
      <w:r>
        <w:t>the 4% floor and extra-interest tiers mean RA savings often earn more than they would under pure market pricing, funded by the government rather than other members.</w:t>
      </w:r>
    </w:p>
    <w:p w14:paraId="7A31C895" w14:textId="77777777" w:rsidR="00740B59" w:rsidRDefault="00000000">
      <w:pPr>
        <w:pStyle w:val="ListParagraph"/>
        <w:numPr>
          <w:ilvl w:val="0"/>
          <w:numId w:val="2"/>
        </w:numPr>
        <w:spacing w:after="90" w:line="276" w:lineRule="auto"/>
      </w:pPr>
      <w:r>
        <w:rPr>
          <w:b/>
          <w:bCs/>
        </w:rPr>
        <w:t xml:space="preserve">Forced discipline: </w:t>
      </w:r>
      <w:r>
        <w:t>removes the behavioural risk of retirees drawing down savings too quickly or being targeted by unsuitable investment products in old age — a well-documented risk in unregulated decumulation.</w:t>
      </w:r>
    </w:p>
    <w:p w14:paraId="62E8F36A" w14:textId="77777777" w:rsidR="00740B59" w:rsidRDefault="00000000">
      <w:pPr>
        <w:pStyle w:val="Heading2"/>
        <w:spacing w:before="280" w:after="140"/>
      </w:pPr>
      <w:r>
        <w:rPr>
          <w:b/>
          <w:bCs/>
          <w:color w:val="0F6E6E"/>
          <w:sz w:val="24"/>
          <w:szCs w:val="24"/>
        </w:rPr>
        <w:t>6.2 Drawbacks</w:t>
      </w:r>
    </w:p>
    <w:p w14:paraId="1DCF09F1" w14:textId="77777777" w:rsidR="00740B59" w:rsidRDefault="00000000">
      <w:pPr>
        <w:pStyle w:val="ListParagraph"/>
        <w:numPr>
          <w:ilvl w:val="0"/>
          <w:numId w:val="2"/>
        </w:numPr>
        <w:spacing w:after="90" w:line="276" w:lineRule="auto"/>
      </w:pPr>
      <w:r>
        <w:rPr>
          <w:b/>
          <w:bCs/>
        </w:rPr>
        <w:t xml:space="preserve">Capital illiquidity: </w:t>
      </w:r>
      <w:r>
        <w:t>beyond the 20% lump sum allowed from age 65, RA savings committed to CPF LIFE cannot be withdrawn as a lump sum, accessed for emergencies, or passed on beyond the plan's bequest terms — this is by design (to prevent premature depletion) but it does mean the money is not available for opportunistic use, such as funding a business, a property purchase, or an unexpected large expense.</w:t>
      </w:r>
    </w:p>
    <w:p w14:paraId="2ABD33A0" w14:textId="77777777" w:rsidR="00740B59" w:rsidRDefault="00000000">
      <w:pPr>
        <w:pStyle w:val="ListParagraph"/>
        <w:numPr>
          <w:ilvl w:val="0"/>
          <w:numId w:val="2"/>
        </w:numPr>
        <w:spacing w:after="90" w:line="276" w:lineRule="auto"/>
      </w:pPr>
      <w:r>
        <w:rPr>
          <w:b/>
          <w:bCs/>
        </w:rPr>
        <w:t xml:space="preserve">Diminishing or zero bequest: </w:t>
      </w:r>
      <w:r>
        <w:t>under the Standard and Escalating plans, nothing remains for beneficiaries if the member lives into their 80s or beyond; the Basic Plan preserves more legacy value but at a lower income (Section 3).</w:t>
      </w:r>
    </w:p>
    <w:p w14:paraId="37724922" w14:textId="77777777" w:rsidR="00740B59" w:rsidRDefault="00000000">
      <w:pPr>
        <w:pStyle w:val="ListParagraph"/>
        <w:numPr>
          <w:ilvl w:val="0"/>
          <w:numId w:val="2"/>
        </w:numPr>
        <w:spacing w:after="90" w:line="276" w:lineRule="auto"/>
      </w:pPr>
      <w:r>
        <w:rPr>
          <w:b/>
          <w:bCs/>
        </w:rPr>
        <w:t xml:space="preserve">No plan portability or switching: </w:t>
      </w:r>
      <w:r>
        <w:t>the plan choice is effectively irrevocable once payouts begin, unlike a private investment portfolio that can be rebalanced as circumstances change.</w:t>
      </w:r>
    </w:p>
    <w:p w14:paraId="366C662F" w14:textId="77777777" w:rsidR="00740B59" w:rsidRDefault="00000000">
      <w:pPr>
        <w:pStyle w:val="ListParagraph"/>
        <w:numPr>
          <w:ilvl w:val="0"/>
          <w:numId w:val="2"/>
        </w:numPr>
        <w:spacing w:after="90" w:line="276" w:lineRule="auto"/>
      </w:pPr>
      <w:r>
        <w:rPr>
          <w:b/>
          <w:bCs/>
        </w:rPr>
        <w:t xml:space="preserve">Perceived loss of control: </w:t>
      </w:r>
      <w:r>
        <w:t>the mandatory nature of the scheme is the most persistent public criticism — members cannot opt for a pure lump-sum retirement even where they believe they could manage the money more effectively themselves; official responses (MOM, MOF) have consistently framed this as necessary to prevent depletion of retirement savings and protect Singaporeans from running out of money in old age.</w:t>
      </w:r>
    </w:p>
    <w:p w14:paraId="7798E1D4" w14:textId="77777777" w:rsidR="00740B59" w:rsidRDefault="00000000">
      <w:pPr>
        <w:pStyle w:val="ListParagraph"/>
        <w:numPr>
          <w:ilvl w:val="0"/>
          <w:numId w:val="2"/>
        </w:numPr>
        <w:spacing w:after="90" w:line="276" w:lineRule="auto"/>
      </w:pPr>
      <w:r>
        <w:rPr>
          <w:b/>
          <w:bCs/>
        </w:rPr>
        <w:t xml:space="preserve">Payout is nominal, not fully inflation-indexed: </w:t>
      </w:r>
      <w:r>
        <w:t>only the Escalating Plan offers a built-in (2% p.a.) inflation adjustment; Standard and Basic Plan payouts are fixed or declining in real terms over a multi-decade retirement.</w:t>
      </w:r>
    </w:p>
    <w:p w14:paraId="3F1C6A2B" w14:textId="77777777" w:rsidR="00740B59" w:rsidRDefault="00000000">
      <w:pPr>
        <w:pBdr>
          <w:left w:val="single" w:sz="24" w:space="8" w:color="B8860B"/>
        </w:pBdr>
        <w:shd w:val="clear" w:color="auto" w:fill="FBF3E1"/>
        <w:spacing w:before="120" w:after="200"/>
        <w:ind w:left="120"/>
      </w:pPr>
      <w:r>
        <w:rPr>
          <w:b/>
          <w:bCs/>
          <w:color w:val="B8860B"/>
          <w:sz w:val="20"/>
          <w:szCs w:val="20"/>
        </w:rPr>
        <w:t xml:space="preserve">Balanced framing:  </w:t>
      </w:r>
      <w:r>
        <w:rPr>
          <w:color w:val="333333"/>
          <w:sz w:val="20"/>
          <w:szCs w:val="20"/>
        </w:rPr>
        <w:t xml:space="preserve">The academic literature on CPF LIFE's value (Section 5.4) is explicit that a good money's-worth ratio is not the same as a welfare judgement on mandatory annuitisation itself — the researchers deliberately declined to take a position on whether forcing everyone to </w:t>
      </w:r>
      <w:proofErr w:type="spellStart"/>
      <w:r>
        <w:rPr>
          <w:color w:val="333333"/>
          <w:sz w:val="20"/>
          <w:szCs w:val="20"/>
        </w:rPr>
        <w:t>annuitise</w:t>
      </w:r>
      <w:proofErr w:type="spellEnd"/>
      <w:r>
        <w:rPr>
          <w:color w:val="333333"/>
          <w:sz w:val="20"/>
          <w:szCs w:val="20"/>
        </w:rPr>
        <w:t xml:space="preserve"> is optimal for every individual's circumstances. That's the crux of most CPF LIFE criticism: the pricing is genuinely favourable, but the loss of flexibility is real and falls unevenly on different households.</w:t>
      </w:r>
    </w:p>
    <w:p w14:paraId="4021B988" w14:textId="77777777" w:rsidR="00740B59" w:rsidRDefault="00000000">
      <w:r>
        <w:br w:type="page"/>
      </w:r>
    </w:p>
    <w:p w14:paraId="68D75BF0" w14:textId="77777777" w:rsidR="00740B59" w:rsidRDefault="00000000">
      <w:pPr>
        <w:pStyle w:val="Heading1"/>
        <w:pBdr>
          <w:bottom w:val="single" w:sz="8" w:space="4" w:color="B8860B"/>
        </w:pBdr>
        <w:spacing w:before="420" w:after="200"/>
      </w:pPr>
      <w:r>
        <w:rPr>
          <w:b/>
          <w:bCs/>
          <w:color w:val="1B2A4A"/>
          <w:sz w:val="30"/>
          <w:szCs w:val="30"/>
        </w:rPr>
        <w:lastRenderedPageBreak/>
        <w:t>7. CPF LIFE versus Private Annuities and Alternative Approaches</w:t>
      </w:r>
    </w:p>
    <w:p w14:paraId="28EEF59C" w14:textId="77777777" w:rsidR="00740B59" w:rsidRDefault="00000000">
      <w:pPr>
        <w:spacing w:after="160" w:line="288" w:lineRule="auto"/>
        <w:jc w:val="both"/>
      </w:pPr>
      <w:r>
        <w:rPr>
          <w:color w:val="222222"/>
        </w:rPr>
        <w:t>CPF LIFE is best understood as the guaranteed income floor of a retirement plan, not the whole plan. The comparison below sets it against the main alternative and complementary vehicles available in Singapore.</w:t>
      </w:r>
    </w:p>
    <w:p w14:paraId="725118F7" w14:textId="77777777" w:rsidR="00740B59" w:rsidRDefault="00000000">
      <w:pPr>
        <w:spacing w:before="200" w:after="100"/>
      </w:pPr>
      <w:r>
        <w:rPr>
          <w:b/>
          <w:bCs/>
          <w:color w:val="1B2A4A"/>
        </w:rPr>
        <w:t>Table 7.1 — CPF LIFE and alternative retirement-income vehicles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200"/>
        <w:gridCol w:w="2200"/>
        <w:gridCol w:w="1600"/>
      </w:tblGrid>
      <w:tr w:rsidR="00740B59" w14:paraId="076E1835" w14:textId="77777777">
        <w:tblPrEx>
          <w:tblCellMar>
            <w:top w:w="0" w:type="dxa"/>
            <w:bottom w:w="0" w:type="dxa"/>
          </w:tblCellMar>
        </w:tblPrEx>
        <w:trPr>
          <w:tblHeader/>
        </w:trPr>
        <w:tc>
          <w:tcPr>
            <w:tcW w:w="2000" w:type="dxa"/>
            <w:shd w:val="clear" w:color="auto" w:fill="1B2A4A"/>
            <w:tcMar>
              <w:top w:w="80" w:type="dxa"/>
              <w:left w:w="110" w:type="dxa"/>
              <w:bottom w:w="80" w:type="dxa"/>
              <w:right w:w="110" w:type="dxa"/>
            </w:tcMar>
            <w:vAlign w:val="center"/>
          </w:tcPr>
          <w:p w14:paraId="2C37BDE2" w14:textId="77777777" w:rsidR="00740B59" w:rsidRDefault="00740B59">
            <w:pPr>
              <w:jc w:val="center"/>
            </w:pPr>
          </w:p>
        </w:tc>
        <w:tc>
          <w:tcPr>
            <w:tcW w:w="2200" w:type="dxa"/>
            <w:shd w:val="clear" w:color="auto" w:fill="1B2A4A"/>
            <w:tcMar>
              <w:top w:w="80" w:type="dxa"/>
              <w:left w:w="110" w:type="dxa"/>
              <w:bottom w:w="80" w:type="dxa"/>
              <w:right w:w="110" w:type="dxa"/>
            </w:tcMar>
            <w:vAlign w:val="center"/>
          </w:tcPr>
          <w:p w14:paraId="717C4E35" w14:textId="77777777" w:rsidR="00740B59" w:rsidRDefault="00000000">
            <w:pPr>
              <w:jc w:val="center"/>
            </w:pPr>
            <w:r>
              <w:rPr>
                <w:b/>
                <w:bCs/>
                <w:color w:val="FFFFFF"/>
                <w:sz w:val="19"/>
                <w:szCs w:val="19"/>
              </w:rPr>
              <w:t>CPF LIFE</w:t>
            </w:r>
          </w:p>
        </w:tc>
        <w:tc>
          <w:tcPr>
            <w:tcW w:w="2200" w:type="dxa"/>
            <w:shd w:val="clear" w:color="auto" w:fill="1B2A4A"/>
            <w:tcMar>
              <w:top w:w="80" w:type="dxa"/>
              <w:left w:w="110" w:type="dxa"/>
              <w:bottom w:w="80" w:type="dxa"/>
              <w:right w:w="110" w:type="dxa"/>
            </w:tcMar>
            <w:vAlign w:val="center"/>
          </w:tcPr>
          <w:p w14:paraId="48D12F8E" w14:textId="77777777" w:rsidR="00740B59" w:rsidRDefault="00000000">
            <w:pPr>
              <w:jc w:val="center"/>
            </w:pPr>
            <w:r>
              <w:rPr>
                <w:b/>
                <w:bCs/>
                <w:color w:val="FFFFFF"/>
                <w:sz w:val="19"/>
                <w:szCs w:val="19"/>
              </w:rPr>
              <w:t>Private annuity</w:t>
            </w:r>
          </w:p>
        </w:tc>
        <w:tc>
          <w:tcPr>
            <w:tcW w:w="2200" w:type="dxa"/>
            <w:shd w:val="clear" w:color="auto" w:fill="1B2A4A"/>
            <w:tcMar>
              <w:top w:w="80" w:type="dxa"/>
              <w:left w:w="110" w:type="dxa"/>
              <w:bottom w:w="80" w:type="dxa"/>
              <w:right w:w="110" w:type="dxa"/>
            </w:tcMar>
            <w:vAlign w:val="center"/>
          </w:tcPr>
          <w:p w14:paraId="1C1A2E6F" w14:textId="77777777" w:rsidR="00740B59" w:rsidRDefault="00000000">
            <w:pPr>
              <w:jc w:val="center"/>
            </w:pPr>
            <w:r>
              <w:rPr>
                <w:b/>
                <w:bCs/>
                <w:color w:val="FFFFFF"/>
                <w:sz w:val="19"/>
                <w:szCs w:val="19"/>
              </w:rPr>
              <w:t>Endowment / ILP</w:t>
            </w:r>
          </w:p>
        </w:tc>
        <w:tc>
          <w:tcPr>
            <w:tcW w:w="1600" w:type="dxa"/>
            <w:shd w:val="clear" w:color="auto" w:fill="1B2A4A"/>
            <w:tcMar>
              <w:top w:w="80" w:type="dxa"/>
              <w:left w:w="110" w:type="dxa"/>
              <w:bottom w:w="80" w:type="dxa"/>
              <w:right w:w="110" w:type="dxa"/>
            </w:tcMar>
            <w:vAlign w:val="center"/>
          </w:tcPr>
          <w:p w14:paraId="3374159E" w14:textId="77777777" w:rsidR="00740B59" w:rsidRDefault="00000000">
            <w:pPr>
              <w:jc w:val="center"/>
            </w:pPr>
            <w:r>
              <w:rPr>
                <w:b/>
                <w:bCs/>
                <w:color w:val="FFFFFF"/>
                <w:sz w:val="19"/>
                <w:szCs w:val="19"/>
              </w:rPr>
              <w:t>SRS + DIY portfolio</w:t>
            </w:r>
          </w:p>
        </w:tc>
      </w:tr>
      <w:tr w:rsidR="00740B59" w14:paraId="069EE527" w14:textId="77777777">
        <w:tblPrEx>
          <w:tblCellMar>
            <w:top w:w="0" w:type="dxa"/>
            <w:bottom w:w="0" w:type="dxa"/>
          </w:tblCellMar>
        </w:tblPrEx>
        <w:tc>
          <w:tcPr>
            <w:tcW w:w="2000" w:type="dxa"/>
            <w:shd w:val="clear" w:color="auto" w:fill="FFFFFF"/>
            <w:tcMar>
              <w:top w:w="80" w:type="dxa"/>
              <w:left w:w="110" w:type="dxa"/>
              <w:bottom w:w="80" w:type="dxa"/>
              <w:right w:w="110" w:type="dxa"/>
            </w:tcMar>
            <w:vAlign w:val="center"/>
          </w:tcPr>
          <w:p w14:paraId="25A35982" w14:textId="77777777" w:rsidR="00740B59" w:rsidRDefault="00000000">
            <w:r>
              <w:rPr>
                <w:color w:val="222222"/>
                <w:sz w:val="19"/>
                <w:szCs w:val="19"/>
              </w:rPr>
              <w:t>Guarantee</w:t>
            </w:r>
          </w:p>
        </w:tc>
        <w:tc>
          <w:tcPr>
            <w:tcW w:w="2200" w:type="dxa"/>
            <w:shd w:val="clear" w:color="auto" w:fill="FFFFFF"/>
            <w:tcMar>
              <w:top w:w="80" w:type="dxa"/>
              <w:left w:w="110" w:type="dxa"/>
              <w:bottom w:w="80" w:type="dxa"/>
              <w:right w:w="110" w:type="dxa"/>
            </w:tcMar>
            <w:vAlign w:val="center"/>
          </w:tcPr>
          <w:p w14:paraId="06ADA92C" w14:textId="77777777" w:rsidR="00740B59" w:rsidRDefault="00000000">
            <w:pPr>
              <w:jc w:val="center"/>
            </w:pPr>
            <w:r>
              <w:rPr>
                <w:color w:val="222222"/>
                <w:sz w:val="19"/>
                <w:szCs w:val="19"/>
              </w:rPr>
              <w:t>Full, govt-backed</w:t>
            </w:r>
          </w:p>
        </w:tc>
        <w:tc>
          <w:tcPr>
            <w:tcW w:w="2200" w:type="dxa"/>
            <w:shd w:val="clear" w:color="auto" w:fill="FFFFFF"/>
            <w:tcMar>
              <w:top w:w="80" w:type="dxa"/>
              <w:left w:w="110" w:type="dxa"/>
              <w:bottom w:w="80" w:type="dxa"/>
              <w:right w:w="110" w:type="dxa"/>
            </w:tcMar>
            <w:vAlign w:val="center"/>
          </w:tcPr>
          <w:p w14:paraId="4F3FA166" w14:textId="77777777" w:rsidR="00740B59" w:rsidRDefault="00000000">
            <w:pPr>
              <w:jc w:val="center"/>
            </w:pPr>
            <w:r>
              <w:rPr>
                <w:color w:val="222222"/>
                <w:sz w:val="19"/>
                <w:szCs w:val="19"/>
              </w:rPr>
              <w:t>Insurer-dependent, partial</w:t>
            </w:r>
          </w:p>
        </w:tc>
        <w:tc>
          <w:tcPr>
            <w:tcW w:w="2200" w:type="dxa"/>
            <w:shd w:val="clear" w:color="auto" w:fill="FFFFFF"/>
            <w:tcMar>
              <w:top w:w="80" w:type="dxa"/>
              <w:left w:w="110" w:type="dxa"/>
              <w:bottom w:w="80" w:type="dxa"/>
              <w:right w:w="110" w:type="dxa"/>
            </w:tcMar>
            <w:vAlign w:val="center"/>
          </w:tcPr>
          <w:p w14:paraId="571FAA88" w14:textId="77777777" w:rsidR="00740B59" w:rsidRDefault="00000000">
            <w:pPr>
              <w:jc w:val="center"/>
            </w:pPr>
            <w:r>
              <w:rPr>
                <w:color w:val="222222"/>
                <w:sz w:val="19"/>
                <w:szCs w:val="19"/>
              </w:rPr>
              <w:t>Partial (capped ~3–4.25%)</w:t>
            </w:r>
          </w:p>
        </w:tc>
        <w:tc>
          <w:tcPr>
            <w:tcW w:w="1600" w:type="dxa"/>
            <w:shd w:val="clear" w:color="auto" w:fill="FFFFFF"/>
            <w:tcMar>
              <w:top w:w="80" w:type="dxa"/>
              <w:left w:w="110" w:type="dxa"/>
              <w:bottom w:w="80" w:type="dxa"/>
              <w:right w:w="110" w:type="dxa"/>
            </w:tcMar>
            <w:vAlign w:val="center"/>
          </w:tcPr>
          <w:p w14:paraId="74DE137F" w14:textId="77777777" w:rsidR="00740B59" w:rsidRDefault="00000000">
            <w:pPr>
              <w:jc w:val="center"/>
            </w:pPr>
            <w:r>
              <w:rPr>
                <w:color w:val="222222"/>
                <w:sz w:val="19"/>
                <w:szCs w:val="19"/>
              </w:rPr>
              <w:t>None — market-linked</w:t>
            </w:r>
          </w:p>
        </w:tc>
      </w:tr>
      <w:tr w:rsidR="00740B59" w14:paraId="056245A5" w14:textId="77777777">
        <w:tblPrEx>
          <w:tblCellMar>
            <w:top w:w="0" w:type="dxa"/>
            <w:bottom w:w="0" w:type="dxa"/>
          </w:tblCellMar>
        </w:tblPrEx>
        <w:tc>
          <w:tcPr>
            <w:tcW w:w="2000" w:type="dxa"/>
            <w:shd w:val="clear" w:color="auto" w:fill="F2F2F2"/>
            <w:tcMar>
              <w:top w:w="80" w:type="dxa"/>
              <w:left w:w="110" w:type="dxa"/>
              <w:bottom w:w="80" w:type="dxa"/>
              <w:right w:w="110" w:type="dxa"/>
            </w:tcMar>
            <w:vAlign w:val="center"/>
          </w:tcPr>
          <w:p w14:paraId="18C9BFF1" w14:textId="77777777" w:rsidR="00740B59" w:rsidRDefault="00000000">
            <w:r>
              <w:rPr>
                <w:color w:val="222222"/>
                <w:sz w:val="19"/>
                <w:szCs w:val="19"/>
              </w:rPr>
              <w:t>Cost</w:t>
            </w:r>
          </w:p>
        </w:tc>
        <w:tc>
          <w:tcPr>
            <w:tcW w:w="2200" w:type="dxa"/>
            <w:shd w:val="clear" w:color="auto" w:fill="F2F2F2"/>
            <w:tcMar>
              <w:top w:w="80" w:type="dxa"/>
              <w:left w:w="110" w:type="dxa"/>
              <w:bottom w:w="80" w:type="dxa"/>
              <w:right w:w="110" w:type="dxa"/>
            </w:tcMar>
            <w:vAlign w:val="center"/>
          </w:tcPr>
          <w:p w14:paraId="0ED551ED" w14:textId="77777777" w:rsidR="00740B59" w:rsidRDefault="00000000">
            <w:pPr>
              <w:jc w:val="center"/>
            </w:pPr>
            <w:r>
              <w:rPr>
                <w:color w:val="222222"/>
                <w:sz w:val="19"/>
                <w:szCs w:val="19"/>
              </w:rPr>
              <w:t>Minimal, no commission</w:t>
            </w:r>
          </w:p>
        </w:tc>
        <w:tc>
          <w:tcPr>
            <w:tcW w:w="2200" w:type="dxa"/>
            <w:shd w:val="clear" w:color="auto" w:fill="F2F2F2"/>
            <w:tcMar>
              <w:top w:w="80" w:type="dxa"/>
              <w:left w:w="110" w:type="dxa"/>
              <w:bottom w:w="80" w:type="dxa"/>
              <w:right w:w="110" w:type="dxa"/>
            </w:tcMar>
            <w:vAlign w:val="center"/>
          </w:tcPr>
          <w:p w14:paraId="28B4AE9E" w14:textId="77777777" w:rsidR="00740B59" w:rsidRDefault="00000000">
            <w:pPr>
              <w:jc w:val="center"/>
            </w:pPr>
            <w:r>
              <w:rPr>
                <w:color w:val="222222"/>
                <w:sz w:val="19"/>
                <w:szCs w:val="19"/>
              </w:rPr>
              <w:t>Distribution fees embedded</w:t>
            </w:r>
          </w:p>
        </w:tc>
        <w:tc>
          <w:tcPr>
            <w:tcW w:w="2200" w:type="dxa"/>
            <w:shd w:val="clear" w:color="auto" w:fill="F2F2F2"/>
            <w:tcMar>
              <w:top w:w="80" w:type="dxa"/>
              <w:left w:w="110" w:type="dxa"/>
              <w:bottom w:w="80" w:type="dxa"/>
              <w:right w:w="110" w:type="dxa"/>
            </w:tcMar>
            <w:vAlign w:val="center"/>
          </w:tcPr>
          <w:p w14:paraId="369B9BBF" w14:textId="77777777" w:rsidR="00740B59" w:rsidRDefault="00000000">
            <w:pPr>
              <w:jc w:val="center"/>
            </w:pPr>
            <w:r>
              <w:rPr>
                <w:color w:val="222222"/>
                <w:sz w:val="19"/>
                <w:szCs w:val="19"/>
              </w:rPr>
              <w:t>High early-surrender drag; ILP layers multiple fees</w:t>
            </w:r>
          </w:p>
        </w:tc>
        <w:tc>
          <w:tcPr>
            <w:tcW w:w="1600" w:type="dxa"/>
            <w:shd w:val="clear" w:color="auto" w:fill="F2F2F2"/>
            <w:tcMar>
              <w:top w:w="80" w:type="dxa"/>
              <w:left w:w="110" w:type="dxa"/>
              <w:bottom w:w="80" w:type="dxa"/>
              <w:right w:w="110" w:type="dxa"/>
            </w:tcMar>
            <w:vAlign w:val="center"/>
          </w:tcPr>
          <w:p w14:paraId="0AB2B8A5" w14:textId="77777777" w:rsidR="00740B59" w:rsidRDefault="00000000">
            <w:pPr>
              <w:jc w:val="center"/>
            </w:pPr>
            <w:r>
              <w:rPr>
                <w:color w:val="222222"/>
                <w:sz w:val="19"/>
                <w:szCs w:val="19"/>
              </w:rPr>
              <w:t>Fund fees only</w:t>
            </w:r>
          </w:p>
        </w:tc>
      </w:tr>
      <w:tr w:rsidR="00740B59" w14:paraId="50A80028" w14:textId="77777777">
        <w:tblPrEx>
          <w:tblCellMar>
            <w:top w:w="0" w:type="dxa"/>
            <w:bottom w:w="0" w:type="dxa"/>
          </w:tblCellMar>
        </w:tblPrEx>
        <w:tc>
          <w:tcPr>
            <w:tcW w:w="2000" w:type="dxa"/>
            <w:shd w:val="clear" w:color="auto" w:fill="FFFFFF"/>
            <w:tcMar>
              <w:top w:w="80" w:type="dxa"/>
              <w:left w:w="110" w:type="dxa"/>
              <w:bottom w:w="80" w:type="dxa"/>
              <w:right w:w="110" w:type="dxa"/>
            </w:tcMar>
            <w:vAlign w:val="center"/>
          </w:tcPr>
          <w:p w14:paraId="26168B28" w14:textId="77777777" w:rsidR="00740B59" w:rsidRDefault="00000000">
            <w:r>
              <w:rPr>
                <w:color w:val="222222"/>
                <w:sz w:val="19"/>
                <w:szCs w:val="19"/>
              </w:rPr>
              <w:t>Payout duration</w:t>
            </w:r>
          </w:p>
        </w:tc>
        <w:tc>
          <w:tcPr>
            <w:tcW w:w="2200" w:type="dxa"/>
            <w:shd w:val="clear" w:color="auto" w:fill="FFFFFF"/>
            <w:tcMar>
              <w:top w:w="80" w:type="dxa"/>
              <w:left w:w="110" w:type="dxa"/>
              <w:bottom w:w="80" w:type="dxa"/>
              <w:right w:w="110" w:type="dxa"/>
            </w:tcMar>
            <w:vAlign w:val="center"/>
          </w:tcPr>
          <w:p w14:paraId="49E54A8F" w14:textId="77777777" w:rsidR="00740B59" w:rsidRDefault="00000000">
            <w:pPr>
              <w:jc w:val="center"/>
            </w:pPr>
            <w:r>
              <w:rPr>
                <w:color w:val="222222"/>
                <w:sz w:val="19"/>
                <w:szCs w:val="19"/>
              </w:rPr>
              <w:t>Lifetime</w:t>
            </w:r>
          </w:p>
        </w:tc>
        <w:tc>
          <w:tcPr>
            <w:tcW w:w="2200" w:type="dxa"/>
            <w:shd w:val="clear" w:color="auto" w:fill="FFFFFF"/>
            <w:tcMar>
              <w:top w:w="80" w:type="dxa"/>
              <w:left w:w="110" w:type="dxa"/>
              <w:bottom w:w="80" w:type="dxa"/>
              <w:right w:w="110" w:type="dxa"/>
            </w:tcMar>
            <w:vAlign w:val="center"/>
          </w:tcPr>
          <w:p w14:paraId="7C6A1F4B" w14:textId="77777777" w:rsidR="00740B59" w:rsidRDefault="00000000">
            <w:pPr>
              <w:jc w:val="center"/>
            </w:pPr>
            <w:r>
              <w:rPr>
                <w:color w:val="222222"/>
                <w:sz w:val="19"/>
                <w:szCs w:val="19"/>
              </w:rPr>
              <w:t>Often fixed/limited period</w:t>
            </w:r>
          </w:p>
        </w:tc>
        <w:tc>
          <w:tcPr>
            <w:tcW w:w="2200" w:type="dxa"/>
            <w:shd w:val="clear" w:color="auto" w:fill="FFFFFF"/>
            <w:tcMar>
              <w:top w:w="80" w:type="dxa"/>
              <w:left w:w="110" w:type="dxa"/>
              <w:bottom w:w="80" w:type="dxa"/>
              <w:right w:w="110" w:type="dxa"/>
            </w:tcMar>
            <w:vAlign w:val="center"/>
          </w:tcPr>
          <w:p w14:paraId="0E3F8E2A" w14:textId="77777777" w:rsidR="00740B59" w:rsidRDefault="00000000">
            <w:pPr>
              <w:jc w:val="center"/>
            </w:pPr>
            <w:r>
              <w:rPr>
                <w:color w:val="222222"/>
                <w:sz w:val="19"/>
                <w:szCs w:val="19"/>
              </w:rPr>
              <w:t>Lump sum at maturity (endowment)</w:t>
            </w:r>
          </w:p>
        </w:tc>
        <w:tc>
          <w:tcPr>
            <w:tcW w:w="1600" w:type="dxa"/>
            <w:shd w:val="clear" w:color="auto" w:fill="FFFFFF"/>
            <w:tcMar>
              <w:top w:w="80" w:type="dxa"/>
              <w:left w:w="110" w:type="dxa"/>
              <w:bottom w:w="80" w:type="dxa"/>
              <w:right w:w="110" w:type="dxa"/>
            </w:tcMar>
            <w:vAlign w:val="center"/>
          </w:tcPr>
          <w:p w14:paraId="373D95C9" w14:textId="77777777" w:rsidR="00740B59" w:rsidRDefault="00000000">
            <w:pPr>
              <w:jc w:val="center"/>
            </w:pPr>
            <w:r>
              <w:rPr>
                <w:color w:val="222222"/>
                <w:sz w:val="19"/>
                <w:szCs w:val="19"/>
              </w:rPr>
              <w:t>Investor-managed, no floor</w:t>
            </w:r>
          </w:p>
        </w:tc>
      </w:tr>
      <w:tr w:rsidR="00740B59" w14:paraId="77BED9C0" w14:textId="77777777">
        <w:tblPrEx>
          <w:tblCellMar>
            <w:top w:w="0" w:type="dxa"/>
            <w:bottom w:w="0" w:type="dxa"/>
          </w:tblCellMar>
        </w:tblPrEx>
        <w:tc>
          <w:tcPr>
            <w:tcW w:w="2000" w:type="dxa"/>
            <w:shd w:val="clear" w:color="auto" w:fill="F2F2F2"/>
            <w:tcMar>
              <w:top w:w="80" w:type="dxa"/>
              <w:left w:w="110" w:type="dxa"/>
              <w:bottom w:w="80" w:type="dxa"/>
              <w:right w:w="110" w:type="dxa"/>
            </w:tcMar>
            <w:vAlign w:val="center"/>
          </w:tcPr>
          <w:p w14:paraId="581AEAF4" w14:textId="77777777" w:rsidR="00740B59" w:rsidRDefault="00000000">
            <w:r>
              <w:rPr>
                <w:color w:val="222222"/>
                <w:sz w:val="19"/>
                <w:szCs w:val="19"/>
              </w:rPr>
              <w:t>Flexibility</w:t>
            </w:r>
          </w:p>
        </w:tc>
        <w:tc>
          <w:tcPr>
            <w:tcW w:w="2200" w:type="dxa"/>
            <w:shd w:val="clear" w:color="auto" w:fill="F2F2F2"/>
            <w:tcMar>
              <w:top w:w="80" w:type="dxa"/>
              <w:left w:w="110" w:type="dxa"/>
              <w:bottom w:w="80" w:type="dxa"/>
              <w:right w:w="110" w:type="dxa"/>
            </w:tcMar>
            <w:vAlign w:val="center"/>
          </w:tcPr>
          <w:p w14:paraId="1BB4661D" w14:textId="77777777" w:rsidR="00740B59" w:rsidRDefault="00000000">
            <w:pPr>
              <w:jc w:val="center"/>
            </w:pPr>
            <w:r>
              <w:rPr>
                <w:color w:val="222222"/>
                <w:sz w:val="19"/>
                <w:szCs w:val="19"/>
              </w:rPr>
              <w:t>Fixed age 65–70 start</w:t>
            </w:r>
          </w:p>
        </w:tc>
        <w:tc>
          <w:tcPr>
            <w:tcW w:w="2200" w:type="dxa"/>
            <w:shd w:val="clear" w:color="auto" w:fill="F2F2F2"/>
            <w:tcMar>
              <w:top w:w="80" w:type="dxa"/>
              <w:left w:w="110" w:type="dxa"/>
              <w:bottom w:w="80" w:type="dxa"/>
              <w:right w:w="110" w:type="dxa"/>
            </w:tcMar>
            <w:vAlign w:val="center"/>
          </w:tcPr>
          <w:p w14:paraId="72BE2758" w14:textId="77777777" w:rsidR="00740B59" w:rsidRDefault="00000000">
            <w:pPr>
              <w:jc w:val="center"/>
            </w:pPr>
            <w:r>
              <w:rPr>
                <w:color w:val="222222"/>
                <w:sz w:val="19"/>
                <w:szCs w:val="19"/>
              </w:rPr>
              <w:t>Flexible start age</w:t>
            </w:r>
          </w:p>
        </w:tc>
        <w:tc>
          <w:tcPr>
            <w:tcW w:w="2200" w:type="dxa"/>
            <w:shd w:val="clear" w:color="auto" w:fill="F2F2F2"/>
            <w:tcMar>
              <w:top w:w="80" w:type="dxa"/>
              <w:left w:w="110" w:type="dxa"/>
              <w:bottom w:w="80" w:type="dxa"/>
              <w:right w:w="110" w:type="dxa"/>
            </w:tcMar>
            <w:vAlign w:val="center"/>
          </w:tcPr>
          <w:p w14:paraId="03F85FBF" w14:textId="77777777" w:rsidR="00740B59" w:rsidRDefault="00000000">
            <w:pPr>
              <w:jc w:val="center"/>
            </w:pPr>
            <w:r>
              <w:rPr>
                <w:color w:val="222222"/>
                <w:sz w:val="19"/>
                <w:szCs w:val="19"/>
              </w:rPr>
              <w:t>Locked to maturity</w:t>
            </w:r>
          </w:p>
        </w:tc>
        <w:tc>
          <w:tcPr>
            <w:tcW w:w="1600" w:type="dxa"/>
            <w:shd w:val="clear" w:color="auto" w:fill="F2F2F2"/>
            <w:tcMar>
              <w:top w:w="80" w:type="dxa"/>
              <w:left w:w="110" w:type="dxa"/>
              <w:bottom w:w="80" w:type="dxa"/>
              <w:right w:w="110" w:type="dxa"/>
            </w:tcMar>
            <w:vAlign w:val="center"/>
          </w:tcPr>
          <w:p w14:paraId="6A7DD0C4" w14:textId="77777777" w:rsidR="00740B59" w:rsidRDefault="00000000">
            <w:pPr>
              <w:jc w:val="center"/>
            </w:pPr>
            <w:r>
              <w:rPr>
                <w:color w:val="222222"/>
                <w:sz w:val="19"/>
                <w:szCs w:val="19"/>
              </w:rPr>
              <w:t>Full control</w:t>
            </w:r>
          </w:p>
        </w:tc>
      </w:tr>
      <w:tr w:rsidR="00740B59" w14:paraId="46CB8E3A" w14:textId="77777777">
        <w:tblPrEx>
          <w:tblCellMar>
            <w:top w:w="0" w:type="dxa"/>
            <w:bottom w:w="0" w:type="dxa"/>
          </w:tblCellMar>
        </w:tblPrEx>
        <w:tc>
          <w:tcPr>
            <w:tcW w:w="2000" w:type="dxa"/>
            <w:shd w:val="clear" w:color="auto" w:fill="FFFFFF"/>
            <w:tcMar>
              <w:top w:w="80" w:type="dxa"/>
              <w:left w:w="110" w:type="dxa"/>
              <w:bottom w:w="80" w:type="dxa"/>
              <w:right w:w="110" w:type="dxa"/>
            </w:tcMar>
            <w:vAlign w:val="center"/>
          </w:tcPr>
          <w:p w14:paraId="6FB47FD3" w14:textId="77777777" w:rsidR="00740B59" w:rsidRDefault="00000000">
            <w:r>
              <w:rPr>
                <w:color w:val="222222"/>
                <w:sz w:val="19"/>
                <w:szCs w:val="19"/>
              </w:rPr>
              <w:t>Best used as</w:t>
            </w:r>
          </w:p>
        </w:tc>
        <w:tc>
          <w:tcPr>
            <w:tcW w:w="2200" w:type="dxa"/>
            <w:shd w:val="clear" w:color="auto" w:fill="FFFFFF"/>
            <w:tcMar>
              <w:top w:w="80" w:type="dxa"/>
              <w:left w:w="110" w:type="dxa"/>
              <w:bottom w:w="80" w:type="dxa"/>
              <w:right w:w="110" w:type="dxa"/>
            </w:tcMar>
            <w:vAlign w:val="center"/>
          </w:tcPr>
          <w:p w14:paraId="7A98C333" w14:textId="77777777" w:rsidR="00740B59" w:rsidRDefault="00000000">
            <w:pPr>
              <w:jc w:val="center"/>
            </w:pPr>
            <w:r>
              <w:rPr>
                <w:color w:val="222222"/>
                <w:sz w:val="19"/>
                <w:szCs w:val="19"/>
              </w:rPr>
              <w:t>Guaranteed income floor</w:t>
            </w:r>
          </w:p>
        </w:tc>
        <w:tc>
          <w:tcPr>
            <w:tcW w:w="2200" w:type="dxa"/>
            <w:shd w:val="clear" w:color="auto" w:fill="FFFFFF"/>
            <w:tcMar>
              <w:top w:w="80" w:type="dxa"/>
              <w:left w:w="110" w:type="dxa"/>
              <w:bottom w:w="80" w:type="dxa"/>
              <w:right w:w="110" w:type="dxa"/>
            </w:tcMar>
            <w:vAlign w:val="center"/>
          </w:tcPr>
          <w:p w14:paraId="51857DFA" w14:textId="77777777" w:rsidR="00740B59" w:rsidRDefault="00000000">
            <w:pPr>
              <w:jc w:val="center"/>
            </w:pPr>
            <w:r>
              <w:rPr>
                <w:color w:val="222222"/>
                <w:sz w:val="19"/>
                <w:szCs w:val="19"/>
              </w:rPr>
              <w:t>Supplement at the margin</w:t>
            </w:r>
          </w:p>
        </w:tc>
        <w:tc>
          <w:tcPr>
            <w:tcW w:w="2200" w:type="dxa"/>
            <w:shd w:val="clear" w:color="auto" w:fill="FFFFFF"/>
            <w:tcMar>
              <w:top w:w="80" w:type="dxa"/>
              <w:left w:w="110" w:type="dxa"/>
              <w:bottom w:w="80" w:type="dxa"/>
              <w:right w:w="110" w:type="dxa"/>
            </w:tcMar>
            <w:vAlign w:val="center"/>
          </w:tcPr>
          <w:p w14:paraId="093EC2CE" w14:textId="77777777" w:rsidR="00740B59" w:rsidRDefault="00000000">
            <w:pPr>
              <w:jc w:val="center"/>
            </w:pPr>
            <w:r>
              <w:rPr>
                <w:color w:val="222222"/>
                <w:sz w:val="19"/>
                <w:szCs w:val="19"/>
              </w:rPr>
              <w:t>Forced-savings + protection</w:t>
            </w:r>
          </w:p>
        </w:tc>
        <w:tc>
          <w:tcPr>
            <w:tcW w:w="1600" w:type="dxa"/>
            <w:shd w:val="clear" w:color="auto" w:fill="FFFFFF"/>
            <w:tcMar>
              <w:top w:w="80" w:type="dxa"/>
              <w:left w:w="110" w:type="dxa"/>
              <w:bottom w:w="80" w:type="dxa"/>
              <w:right w:w="110" w:type="dxa"/>
            </w:tcMar>
            <w:vAlign w:val="center"/>
          </w:tcPr>
          <w:p w14:paraId="47C40A4A" w14:textId="77777777" w:rsidR="00740B59" w:rsidRDefault="00000000">
            <w:pPr>
              <w:jc w:val="center"/>
            </w:pPr>
            <w:r>
              <w:rPr>
                <w:color w:val="222222"/>
                <w:sz w:val="19"/>
                <w:szCs w:val="19"/>
              </w:rPr>
              <w:t>Growth / tax-advantaged top-up</w:t>
            </w:r>
          </w:p>
        </w:tc>
      </w:tr>
    </w:tbl>
    <w:p w14:paraId="0A1C1CA4" w14:textId="77777777" w:rsidR="00740B59" w:rsidRDefault="00000000">
      <w:pPr>
        <w:spacing w:after="260"/>
      </w:pPr>
      <w:r>
        <w:rPr>
          <w:i/>
          <w:iCs/>
          <w:color w:val="5B5F66"/>
          <w:sz w:val="17"/>
          <w:szCs w:val="17"/>
        </w:rPr>
        <w:t xml:space="preserve">Source: </w:t>
      </w:r>
      <w:proofErr w:type="spellStart"/>
      <w:r>
        <w:rPr>
          <w:i/>
          <w:iCs/>
          <w:color w:val="5B5F66"/>
          <w:sz w:val="17"/>
          <w:szCs w:val="17"/>
        </w:rPr>
        <w:t>Endowus</w:t>
      </w:r>
      <w:proofErr w:type="spellEnd"/>
      <w:r>
        <w:rPr>
          <w:i/>
          <w:iCs/>
          <w:color w:val="5B5F66"/>
          <w:sz w:val="17"/>
          <w:szCs w:val="17"/>
        </w:rPr>
        <w:t>, "Retirement plans in Singapore vs CPF LIFE"; MoneySense (Singapore government financial-guidance portal), "Options for your retirement income."</w:t>
      </w:r>
    </w:p>
    <w:p w14:paraId="738383AF" w14:textId="77777777" w:rsidR="00740B59" w:rsidRDefault="00000000">
      <w:pPr>
        <w:pStyle w:val="Heading2"/>
        <w:spacing w:before="280" w:after="140"/>
      </w:pPr>
      <w:r>
        <w:rPr>
          <w:b/>
          <w:bCs/>
          <w:color w:val="0F6E6E"/>
          <w:sz w:val="24"/>
          <w:szCs w:val="24"/>
        </w:rPr>
        <w:t>7.1 Private annuities and guaranteed income plans</w:t>
      </w:r>
    </w:p>
    <w:p w14:paraId="175FD50D" w14:textId="77777777" w:rsidR="00740B59" w:rsidRDefault="00000000">
      <w:pPr>
        <w:spacing w:after="160" w:line="288" w:lineRule="auto"/>
        <w:jc w:val="both"/>
      </w:pPr>
      <w:r>
        <w:rPr>
          <w:color w:val="222222"/>
        </w:rPr>
        <w:t>Private insurers' annuities and "guaranteed income plans" allow more flexible start ages and durations than CPF LIFE, but as standalone products they are priced to cover distribution costs and insurer margin, and — per the money's-worth research in Section 5.4 — typically return only 80–90 cents of expected value per premium dollar, versus CPF LIFE's 97 cents to over a dollar. They function best as a supplement (for income before 65, or income above what CPF LIFE alone provides) rather than a substitute.</w:t>
      </w:r>
    </w:p>
    <w:p w14:paraId="527D0C98" w14:textId="77777777" w:rsidR="00740B59" w:rsidRDefault="00000000">
      <w:pPr>
        <w:pStyle w:val="Heading2"/>
        <w:spacing w:before="280" w:after="140"/>
      </w:pPr>
      <w:r>
        <w:rPr>
          <w:b/>
          <w:bCs/>
          <w:color w:val="0F6E6E"/>
          <w:sz w:val="24"/>
          <w:szCs w:val="24"/>
        </w:rPr>
        <w:t>7.2 Endowment plans and investment-linked policies (ILPs)</w:t>
      </w:r>
    </w:p>
    <w:p w14:paraId="2258F7E4" w14:textId="77777777" w:rsidR="00740B59" w:rsidRDefault="00000000">
      <w:pPr>
        <w:spacing w:after="160" w:line="288" w:lineRule="auto"/>
        <w:jc w:val="both"/>
      </w:pPr>
      <w:r>
        <w:rPr>
          <w:color w:val="222222"/>
        </w:rPr>
        <w:t>Endowment plans offer a guaranteed-plus-bonus lump sum at maturity, useful for disciplined, forced saving, but illustrated returns are capped in the 3–4.25% range and early surrender typically returns less than premiums paid. ILPs bundle insurance and investment but layer insurance charges (which rise with age), fund fees, and other costs that generally make separating protection (term insurance) from growth (direct investment) the more cost-efficient approach.</w:t>
      </w:r>
    </w:p>
    <w:p w14:paraId="4A2AA30B" w14:textId="77777777" w:rsidR="00740B59" w:rsidRDefault="00000000">
      <w:pPr>
        <w:pStyle w:val="Heading2"/>
        <w:spacing w:before="280" w:after="140"/>
      </w:pPr>
      <w:r>
        <w:rPr>
          <w:b/>
          <w:bCs/>
          <w:color w:val="0F6E6E"/>
          <w:sz w:val="24"/>
          <w:szCs w:val="24"/>
        </w:rPr>
        <w:t>7.3 Supplementary Retirement Scheme (SRS) plus a diversified portfolio</w:t>
      </w:r>
    </w:p>
    <w:p w14:paraId="60BDC632" w14:textId="77777777" w:rsidR="00740B59" w:rsidRDefault="00000000">
      <w:pPr>
        <w:spacing w:after="160" w:line="288" w:lineRule="auto"/>
        <w:jc w:val="both"/>
      </w:pPr>
      <w:r>
        <w:rPr>
          <w:color w:val="222222"/>
        </w:rPr>
        <w:t xml:space="preserve">SRS is the natural complement to CPF LIFE for higher-income members: contributions attract dollar-for-dollar tax relief (up to $15,300/year for citizens and PRs), growth is tax-free while invested, and only 50% of withdrawals after the statutory retirement age are taxable. </w:t>
      </w:r>
      <w:proofErr w:type="spellStart"/>
      <w:r>
        <w:rPr>
          <w:color w:val="222222"/>
        </w:rPr>
        <w:t>Endowus</w:t>
      </w:r>
      <w:proofErr w:type="spellEnd"/>
      <w:r>
        <w:rPr>
          <w:color w:val="222222"/>
        </w:rPr>
        <w:t xml:space="preserve"> data cited in this research found 59% of CPFIS-OA investors outperformed the OA's guaranteed 2.5% p.a. over a 2016–2023 window (with about 20% posting losses) — underscoring that DIY investing can beat CPF's own guaranteed rates, but is not guaranteed to, and demands genuine discipline on cost and time horizon.</w:t>
      </w:r>
    </w:p>
    <w:p w14:paraId="6B6946E6" w14:textId="77777777" w:rsidR="00740B59" w:rsidRDefault="00000000">
      <w:pPr>
        <w:pStyle w:val="Heading2"/>
        <w:spacing w:before="280" w:after="140"/>
      </w:pPr>
      <w:r>
        <w:rPr>
          <w:b/>
          <w:bCs/>
          <w:color w:val="0F6E6E"/>
          <w:sz w:val="24"/>
          <w:szCs w:val="24"/>
        </w:rPr>
        <w:lastRenderedPageBreak/>
        <w:t>7.4 Property monetisation — directly relevant to your position as a landlord</w:t>
      </w:r>
    </w:p>
    <w:p w14:paraId="40D1E47C" w14:textId="77777777" w:rsidR="00740B59" w:rsidRDefault="00000000">
      <w:pPr>
        <w:spacing w:after="160" w:line="288" w:lineRule="auto"/>
        <w:jc w:val="both"/>
      </w:pPr>
      <w:r>
        <w:rPr>
          <w:color w:val="222222"/>
        </w:rPr>
        <w:t xml:space="preserve">The government's own retirement-income guidance names three property-based supplements to CPF LIFE: rental income from an HDB flat (once occupancy requirements are met), the HDB Lease Buyback Scheme (selling part of a flat's remaining lease back to HDB, with proceeds channelled into the Retirement Account), and right-sizing to a smaller home, potentially with a Silver Housing Bonus top-up. For a landlord with private residential holdings, the equivalent private-market playbook — using rental yield as a retirement income stream alongside, rather than instead of, an </w:t>
      </w:r>
      <w:proofErr w:type="spellStart"/>
      <w:r>
        <w:rPr>
          <w:color w:val="222222"/>
        </w:rPr>
        <w:t>annuitised</w:t>
      </w:r>
      <w:proofErr w:type="spellEnd"/>
      <w:r>
        <w:rPr>
          <w:color w:val="222222"/>
        </w:rPr>
        <w:t xml:space="preserve"> CPF LIFE floor — maps onto the same underlying logic: CPF LIFE covers the base, non-negotiable cost of living; property (and other invested assets) cover the discretionary and legacy layer above it.</w:t>
      </w:r>
    </w:p>
    <w:p w14:paraId="4F373759" w14:textId="77777777" w:rsidR="00740B59" w:rsidRDefault="00000000">
      <w:pPr>
        <w:pStyle w:val="Heading2"/>
        <w:spacing w:before="280" w:after="140"/>
      </w:pPr>
      <w:r>
        <w:rPr>
          <w:b/>
          <w:bCs/>
          <w:color w:val="0F6E6E"/>
          <w:sz w:val="24"/>
          <w:szCs w:val="24"/>
        </w:rPr>
        <w:t>7.5 Practical structure</w:t>
      </w:r>
    </w:p>
    <w:p w14:paraId="1453240E" w14:textId="77777777" w:rsidR="00740B59" w:rsidRDefault="00000000">
      <w:pPr>
        <w:spacing w:after="160" w:line="288" w:lineRule="auto"/>
        <w:jc w:val="both"/>
      </w:pPr>
      <w:r>
        <w:rPr>
          <w:color w:val="222222"/>
        </w:rPr>
        <w:t>The consensus across the financial-industry sources reviewed — and consistent with how Singapore's official MoneySense guidance frames it — is a layered approach: CPF LIFE as the guaranteed income floor that covers essential expenses; SRS and other invested assets to capture tax efficiency and long-run growth; and property or other income-generating assets as the flexible, higher-return layer that can be adjusted for legacy, liquidity, or opportunity.</w:t>
      </w:r>
    </w:p>
    <w:p w14:paraId="549AF4F1" w14:textId="77777777" w:rsidR="00740B59" w:rsidRDefault="00000000">
      <w:r>
        <w:br w:type="page"/>
      </w:r>
    </w:p>
    <w:p w14:paraId="57B3A2CE" w14:textId="77777777" w:rsidR="00740B59" w:rsidRDefault="00000000">
      <w:pPr>
        <w:pStyle w:val="Heading1"/>
        <w:pBdr>
          <w:bottom w:val="single" w:sz="8" w:space="4" w:color="B8860B"/>
        </w:pBdr>
        <w:spacing w:before="420" w:after="200"/>
      </w:pPr>
      <w:r>
        <w:rPr>
          <w:b/>
          <w:bCs/>
          <w:color w:val="1B2A4A"/>
          <w:sz w:val="30"/>
          <w:szCs w:val="30"/>
        </w:rPr>
        <w:lastRenderedPageBreak/>
        <w:t>8. Recent Policy Adjustments and the Reform Trajectory</w:t>
      </w:r>
    </w:p>
    <w:p w14:paraId="2179B033" w14:textId="77777777" w:rsidR="00740B59" w:rsidRDefault="00000000">
      <w:pPr>
        <w:spacing w:before="200" w:after="100"/>
      </w:pPr>
      <w:r>
        <w:rPr>
          <w:b/>
          <w:bCs/>
          <w:color w:val="1B2A4A"/>
        </w:rPr>
        <w:t>Table 8.1 — Timeline of recent and upcoming CPF LIFE-relevant reforms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8300"/>
      </w:tblGrid>
      <w:tr w:rsidR="00740B59" w14:paraId="0C2EB0DF" w14:textId="77777777">
        <w:tblPrEx>
          <w:tblCellMar>
            <w:top w:w="0" w:type="dxa"/>
            <w:bottom w:w="0" w:type="dxa"/>
          </w:tblCellMar>
        </w:tblPrEx>
        <w:trPr>
          <w:tblHeader/>
        </w:trPr>
        <w:tc>
          <w:tcPr>
            <w:tcW w:w="1700" w:type="dxa"/>
            <w:shd w:val="clear" w:color="auto" w:fill="1B2A4A"/>
            <w:tcMar>
              <w:top w:w="80" w:type="dxa"/>
              <w:left w:w="110" w:type="dxa"/>
              <w:bottom w:w="80" w:type="dxa"/>
              <w:right w:w="110" w:type="dxa"/>
            </w:tcMar>
            <w:vAlign w:val="center"/>
          </w:tcPr>
          <w:p w14:paraId="54695590" w14:textId="77777777" w:rsidR="00740B59" w:rsidRDefault="00000000">
            <w:pPr>
              <w:jc w:val="center"/>
            </w:pPr>
            <w:r>
              <w:rPr>
                <w:b/>
                <w:bCs/>
                <w:color w:val="FFFFFF"/>
                <w:sz w:val="19"/>
                <w:szCs w:val="19"/>
              </w:rPr>
              <w:t>Effective</w:t>
            </w:r>
          </w:p>
        </w:tc>
        <w:tc>
          <w:tcPr>
            <w:tcW w:w="8300" w:type="dxa"/>
            <w:shd w:val="clear" w:color="auto" w:fill="1B2A4A"/>
            <w:tcMar>
              <w:top w:w="80" w:type="dxa"/>
              <w:left w:w="110" w:type="dxa"/>
              <w:bottom w:w="80" w:type="dxa"/>
              <w:right w:w="110" w:type="dxa"/>
            </w:tcMar>
            <w:vAlign w:val="center"/>
          </w:tcPr>
          <w:p w14:paraId="680468A0" w14:textId="77777777" w:rsidR="00740B59" w:rsidRDefault="00000000">
            <w:pPr>
              <w:jc w:val="center"/>
            </w:pPr>
            <w:r>
              <w:rPr>
                <w:b/>
                <w:bCs/>
                <w:color w:val="FFFFFF"/>
                <w:sz w:val="19"/>
                <w:szCs w:val="19"/>
              </w:rPr>
              <w:t>Change</w:t>
            </w:r>
          </w:p>
        </w:tc>
      </w:tr>
      <w:tr w:rsidR="00740B59" w14:paraId="35AFA7FF" w14:textId="77777777">
        <w:tblPrEx>
          <w:tblCellMar>
            <w:top w:w="0" w:type="dxa"/>
            <w:bottom w:w="0" w:type="dxa"/>
          </w:tblCellMar>
        </w:tblPrEx>
        <w:tc>
          <w:tcPr>
            <w:tcW w:w="1700" w:type="dxa"/>
            <w:shd w:val="clear" w:color="auto" w:fill="FFFFFF"/>
            <w:tcMar>
              <w:top w:w="80" w:type="dxa"/>
              <w:left w:w="110" w:type="dxa"/>
              <w:bottom w:w="80" w:type="dxa"/>
              <w:right w:w="110" w:type="dxa"/>
            </w:tcMar>
            <w:vAlign w:val="center"/>
          </w:tcPr>
          <w:p w14:paraId="76442051" w14:textId="77777777" w:rsidR="00740B59" w:rsidRDefault="00000000">
            <w:r>
              <w:rPr>
                <w:color w:val="222222"/>
                <w:sz w:val="19"/>
                <w:szCs w:val="19"/>
              </w:rPr>
              <w:t>19 Jan 2025</w:t>
            </w:r>
          </w:p>
        </w:tc>
        <w:tc>
          <w:tcPr>
            <w:tcW w:w="8300" w:type="dxa"/>
            <w:shd w:val="clear" w:color="auto" w:fill="FFFFFF"/>
            <w:tcMar>
              <w:top w:w="80" w:type="dxa"/>
              <w:left w:w="110" w:type="dxa"/>
              <w:bottom w:w="80" w:type="dxa"/>
              <w:right w:w="110" w:type="dxa"/>
            </w:tcMar>
            <w:vAlign w:val="center"/>
          </w:tcPr>
          <w:p w14:paraId="2E98C44E" w14:textId="77777777" w:rsidR="00740B59" w:rsidRDefault="00000000">
            <w:pPr>
              <w:jc w:val="center"/>
            </w:pPr>
            <w:r>
              <w:rPr>
                <w:color w:val="222222"/>
                <w:sz w:val="19"/>
                <w:szCs w:val="19"/>
              </w:rPr>
              <w:t>Special Account closed for members 55 and above; balances swept into the Retirement Account up to the FRS, with any excess moved to the Ordinary Account.</w:t>
            </w:r>
          </w:p>
        </w:tc>
      </w:tr>
      <w:tr w:rsidR="00740B59" w14:paraId="3A095E76" w14:textId="77777777">
        <w:tblPrEx>
          <w:tblCellMar>
            <w:top w:w="0" w:type="dxa"/>
            <w:bottom w:w="0" w:type="dxa"/>
          </w:tblCellMar>
        </w:tblPrEx>
        <w:tc>
          <w:tcPr>
            <w:tcW w:w="1700" w:type="dxa"/>
            <w:shd w:val="clear" w:color="auto" w:fill="F2F2F2"/>
            <w:tcMar>
              <w:top w:w="80" w:type="dxa"/>
              <w:left w:w="110" w:type="dxa"/>
              <w:bottom w:w="80" w:type="dxa"/>
              <w:right w:w="110" w:type="dxa"/>
            </w:tcMar>
            <w:vAlign w:val="center"/>
          </w:tcPr>
          <w:p w14:paraId="2ECCBC4D" w14:textId="77777777" w:rsidR="00740B59" w:rsidRDefault="00000000">
            <w:r>
              <w:rPr>
                <w:color w:val="222222"/>
                <w:sz w:val="19"/>
                <w:szCs w:val="19"/>
              </w:rPr>
              <w:t>1 Jan 2025 (2025 cohort)</w:t>
            </w:r>
          </w:p>
        </w:tc>
        <w:tc>
          <w:tcPr>
            <w:tcW w:w="8300" w:type="dxa"/>
            <w:shd w:val="clear" w:color="auto" w:fill="F2F2F2"/>
            <w:tcMar>
              <w:top w:w="80" w:type="dxa"/>
              <w:left w:w="110" w:type="dxa"/>
              <w:bottom w:w="80" w:type="dxa"/>
              <w:right w:w="110" w:type="dxa"/>
            </w:tcMar>
            <w:vAlign w:val="center"/>
          </w:tcPr>
          <w:p w14:paraId="7F60A791" w14:textId="77777777" w:rsidR="00740B59" w:rsidRDefault="00000000">
            <w:pPr>
              <w:jc w:val="center"/>
            </w:pPr>
            <w:r>
              <w:rPr>
                <w:color w:val="222222"/>
                <w:sz w:val="19"/>
                <w:szCs w:val="19"/>
              </w:rPr>
              <w:t>Enhanced Retirement Sum raised from 3x to 4x the Basic Retirement Sum ($426,000 for the 2025 cohort), letting members top up further for higher lifelong payouts.</w:t>
            </w:r>
          </w:p>
        </w:tc>
      </w:tr>
      <w:tr w:rsidR="00740B59" w14:paraId="0DE3FCED" w14:textId="77777777">
        <w:tblPrEx>
          <w:tblCellMar>
            <w:top w:w="0" w:type="dxa"/>
            <w:bottom w:w="0" w:type="dxa"/>
          </w:tblCellMar>
        </w:tblPrEx>
        <w:tc>
          <w:tcPr>
            <w:tcW w:w="1700" w:type="dxa"/>
            <w:shd w:val="clear" w:color="auto" w:fill="FFFFFF"/>
            <w:tcMar>
              <w:top w:w="80" w:type="dxa"/>
              <w:left w:w="110" w:type="dxa"/>
              <w:bottom w:w="80" w:type="dxa"/>
              <w:right w:w="110" w:type="dxa"/>
            </w:tcMar>
            <w:vAlign w:val="center"/>
          </w:tcPr>
          <w:p w14:paraId="1479A737" w14:textId="77777777" w:rsidR="00740B59" w:rsidRDefault="00000000">
            <w:r>
              <w:rPr>
                <w:color w:val="222222"/>
                <w:sz w:val="19"/>
                <w:szCs w:val="19"/>
              </w:rPr>
              <w:t>2023 → 2026</w:t>
            </w:r>
          </w:p>
        </w:tc>
        <w:tc>
          <w:tcPr>
            <w:tcW w:w="8300" w:type="dxa"/>
            <w:shd w:val="clear" w:color="auto" w:fill="FFFFFF"/>
            <w:tcMar>
              <w:top w:w="80" w:type="dxa"/>
              <w:left w:w="110" w:type="dxa"/>
              <w:bottom w:w="80" w:type="dxa"/>
              <w:right w:w="110" w:type="dxa"/>
            </w:tcMar>
            <w:vAlign w:val="center"/>
          </w:tcPr>
          <w:p w14:paraId="1A10B45C" w14:textId="77777777" w:rsidR="00740B59" w:rsidRDefault="00000000">
            <w:pPr>
              <w:jc w:val="center"/>
            </w:pPr>
            <w:r>
              <w:rPr>
                <w:color w:val="222222"/>
                <w:sz w:val="19"/>
                <w:szCs w:val="19"/>
              </w:rPr>
              <w:t>Monthly Ordinary Wage ceiling raised in stages from $6,000 to $8,000 (Sep 2023 / Jan 2024 / Jan 2025 / Jan 2026), lifting how much wage income can flow into CPF, including the Retirement Account over time.</w:t>
            </w:r>
          </w:p>
        </w:tc>
      </w:tr>
      <w:tr w:rsidR="00740B59" w14:paraId="1A637C01" w14:textId="77777777">
        <w:tblPrEx>
          <w:tblCellMar>
            <w:top w:w="0" w:type="dxa"/>
            <w:bottom w:w="0" w:type="dxa"/>
          </w:tblCellMar>
        </w:tblPrEx>
        <w:tc>
          <w:tcPr>
            <w:tcW w:w="1700" w:type="dxa"/>
            <w:shd w:val="clear" w:color="auto" w:fill="F2F2F2"/>
            <w:tcMar>
              <w:top w:w="80" w:type="dxa"/>
              <w:left w:w="110" w:type="dxa"/>
              <w:bottom w:w="80" w:type="dxa"/>
              <w:right w:w="110" w:type="dxa"/>
            </w:tcMar>
            <w:vAlign w:val="center"/>
          </w:tcPr>
          <w:p w14:paraId="7E6AB8DB" w14:textId="77777777" w:rsidR="00740B59" w:rsidRDefault="00000000">
            <w:r>
              <w:rPr>
                <w:color w:val="222222"/>
                <w:sz w:val="19"/>
                <w:szCs w:val="19"/>
              </w:rPr>
              <w:t>1 Jan 2026</w:t>
            </w:r>
          </w:p>
        </w:tc>
        <w:tc>
          <w:tcPr>
            <w:tcW w:w="8300" w:type="dxa"/>
            <w:shd w:val="clear" w:color="auto" w:fill="F2F2F2"/>
            <w:tcMar>
              <w:top w:w="80" w:type="dxa"/>
              <w:left w:w="110" w:type="dxa"/>
              <w:bottom w:w="80" w:type="dxa"/>
              <w:right w:w="110" w:type="dxa"/>
            </w:tcMar>
            <w:vAlign w:val="center"/>
          </w:tcPr>
          <w:p w14:paraId="5F42A291" w14:textId="77777777" w:rsidR="00740B59" w:rsidRDefault="00000000">
            <w:pPr>
              <w:jc w:val="center"/>
            </w:pPr>
            <w:r>
              <w:rPr>
                <w:color w:val="222222"/>
                <w:sz w:val="19"/>
                <w:szCs w:val="19"/>
              </w:rPr>
              <w:t>CPF contribution rates for employees above 55–60 raised by a combined 1.5 percentage points (further senior-worker glide path step).</w:t>
            </w:r>
          </w:p>
        </w:tc>
      </w:tr>
      <w:tr w:rsidR="00740B59" w14:paraId="20E9E8C1" w14:textId="77777777">
        <w:tblPrEx>
          <w:tblCellMar>
            <w:top w:w="0" w:type="dxa"/>
            <w:bottom w:w="0" w:type="dxa"/>
          </w:tblCellMar>
        </w:tblPrEx>
        <w:tc>
          <w:tcPr>
            <w:tcW w:w="1700" w:type="dxa"/>
            <w:shd w:val="clear" w:color="auto" w:fill="FFFFFF"/>
            <w:tcMar>
              <w:top w:w="80" w:type="dxa"/>
              <w:left w:w="110" w:type="dxa"/>
              <w:bottom w:w="80" w:type="dxa"/>
              <w:right w:w="110" w:type="dxa"/>
            </w:tcMar>
            <w:vAlign w:val="center"/>
          </w:tcPr>
          <w:p w14:paraId="7598F858" w14:textId="77777777" w:rsidR="00740B59" w:rsidRDefault="00000000">
            <w:r>
              <w:rPr>
                <w:color w:val="222222"/>
                <w:sz w:val="19"/>
                <w:szCs w:val="19"/>
              </w:rPr>
              <w:t>1 Jan 2026 – 31 Dec 2026</w:t>
            </w:r>
          </w:p>
        </w:tc>
        <w:tc>
          <w:tcPr>
            <w:tcW w:w="8300" w:type="dxa"/>
            <w:shd w:val="clear" w:color="auto" w:fill="FFFFFF"/>
            <w:tcMar>
              <w:top w:w="80" w:type="dxa"/>
              <w:left w:w="110" w:type="dxa"/>
              <w:bottom w:w="80" w:type="dxa"/>
              <w:right w:w="110" w:type="dxa"/>
            </w:tcMar>
            <w:vAlign w:val="center"/>
          </w:tcPr>
          <w:p w14:paraId="087C3AD6" w14:textId="77777777" w:rsidR="00740B59" w:rsidRDefault="00000000">
            <w:pPr>
              <w:jc w:val="center"/>
            </w:pPr>
            <w:r>
              <w:rPr>
                <w:color w:val="222222"/>
                <w:sz w:val="19"/>
                <w:szCs w:val="19"/>
              </w:rPr>
              <w:t xml:space="preserve">4% p.a. interest-rate floor on Special, </w:t>
            </w:r>
            <w:proofErr w:type="spellStart"/>
            <w:r>
              <w:rPr>
                <w:color w:val="222222"/>
                <w:sz w:val="19"/>
                <w:szCs w:val="19"/>
              </w:rPr>
              <w:t>MediSave</w:t>
            </w:r>
            <w:proofErr w:type="spellEnd"/>
            <w:r>
              <w:rPr>
                <w:color w:val="222222"/>
                <w:sz w:val="19"/>
                <w:szCs w:val="19"/>
              </w:rPr>
              <w:t xml:space="preserve"> and Retirement Account monies extended for another full year.</w:t>
            </w:r>
          </w:p>
        </w:tc>
      </w:tr>
      <w:tr w:rsidR="00740B59" w14:paraId="31CB7F24" w14:textId="77777777">
        <w:tblPrEx>
          <w:tblCellMar>
            <w:top w:w="0" w:type="dxa"/>
            <w:bottom w:w="0" w:type="dxa"/>
          </w:tblCellMar>
        </w:tblPrEx>
        <w:tc>
          <w:tcPr>
            <w:tcW w:w="1700" w:type="dxa"/>
            <w:shd w:val="clear" w:color="auto" w:fill="F2F2F2"/>
            <w:tcMar>
              <w:top w:w="80" w:type="dxa"/>
              <w:left w:w="110" w:type="dxa"/>
              <w:bottom w:w="80" w:type="dxa"/>
              <w:right w:w="110" w:type="dxa"/>
            </w:tcMar>
            <w:vAlign w:val="center"/>
          </w:tcPr>
          <w:p w14:paraId="4892F2C1" w14:textId="77777777" w:rsidR="00740B59" w:rsidRDefault="00000000">
            <w:r>
              <w:rPr>
                <w:color w:val="222222"/>
                <w:sz w:val="19"/>
                <w:szCs w:val="19"/>
              </w:rPr>
              <w:t>1 Jan 2027</w:t>
            </w:r>
          </w:p>
        </w:tc>
        <w:tc>
          <w:tcPr>
            <w:tcW w:w="8300" w:type="dxa"/>
            <w:shd w:val="clear" w:color="auto" w:fill="F2F2F2"/>
            <w:tcMar>
              <w:top w:w="80" w:type="dxa"/>
              <w:left w:w="110" w:type="dxa"/>
              <w:bottom w:w="80" w:type="dxa"/>
              <w:right w:w="110" w:type="dxa"/>
            </w:tcMar>
            <w:vAlign w:val="center"/>
          </w:tcPr>
          <w:p w14:paraId="4877AA42" w14:textId="77777777" w:rsidR="00740B59" w:rsidRDefault="00000000">
            <w:pPr>
              <w:jc w:val="center"/>
            </w:pPr>
            <w:r>
              <w:rPr>
                <w:color w:val="222222"/>
                <w:sz w:val="19"/>
                <w:szCs w:val="19"/>
              </w:rPr>
              <w:t>Further senior-worker contribution rate increase (1.5pp for above-55-to-60; 1.0pp for above-60-to-65), directed into the RA up to the FRS; employers receive a CPF Transition Offset covering half the increase.</w:t>
            </w:r>
          </w:p>
        </w:tc>
      </w:tr>
      <w:tr w:rsidR="00740B59" w14:paraId="529630DB" w14:textId="77777777">
        <w:tblPrEx>
          <w:tblCellMar>
            <w:top w:w="0" w:type="dxa"/>
            <w:bottom w:w="0" w:type="dxa"/>
          </w:tblCellMar>
        </w:tblPrEx>
        <w:tc>
          <w:tcPr>
            <w:tcW w:w="1700" w:type="dxa"/>
            <w:shd w:val="clear" w:color="auto" w:fill="FFFFFF"/>
            <w:tcMar>
              <w:top w:w="80" w:type="dxa"/>
              <w:left w:w="110" w:type="dxa"/>
              <w:bottom w:w="80" w:type="dxa"/>
              <w:right w:w="110" w:type="dxa"/>
            </w:tcMar>
            <w:vAlign w:val="center"/>
          </w:tcPr>
          <w:p w14:paraId="66D967C2" w14:textId="77777777" w:rsidR="00740B59" w:rsidRDefault="00000000">
            <w:r>
              <w:rPr>
                <w:color w:val="222222"/>
                <w:sz w:val="19"/>
                <w:szCs w:val="19"/>
              </w:rPr>
              <w:t>Dec 2026</w:t>
            </w:r>
          </w:p>
        </w:tc>
        <w:tc>
          <w:tcPr>
            <w:tcW w:w="8300" w:type="dxa"/>
            <w:shd w:val="clear" w:color="auto" w:fill="FFFFFF"/>
            <w:tcMar>
              <w:top w:w="80" w:type="dxa"/>
              <w:left w:w="110" w:type="dxa"/>
              <w:bottom w:w="80" w:type="dxa"/>
              <w:right w:w="110" w:type="dxa"/>
            </w:tcMar>
            <w:vAlign w:val="center"/>
          </w:tcPr>
          <w:p w14:paraId="3D6E7BF5" w14:textId="77777777" w:rsidR="00740B59" w:rsidRDefault="00000000">
            <w:pPr>
              <w:jc w:val="center"/>
            </w:pPr>
            <w:proofErr w:type="spellStart"/>
            <w:r>
              <w:rPr>
                <w:color w:val="222222"/>
                <w:sz w:val="19"/>
                <w:szCs w:val="19"/>
              </w:rPr>
              <w:t>Majulah</w:t>
            </w:r>
            <w:proofErr w:type="spellEnd"/>
            <w:r>
              <w:rPr>
                <w:color w:val="222222"/>
                <w:sz w:val="19"/>
                <w:szCs w:val="19"/>
              </w:rPr>
              <w:t xml:space="preserve"> Package top-ups (means-tested Earn and Save Bonus, Retirement Savings Bonus, </w:t>
            </w:r>
            <w:proofErr w:type="spellStart"/>
            <w:r>
              <w:rPr>
                <w:color w:val="222222"/>
                <w:sz w:val="19"/>
                <w:szCs w:val="19"/>
              </w:rPr>
              <w:t>MediSave</w:t>
            </w:r>
            <w:proofErr w:type="spellEnd"/>
            <w:r>
              <w:rPr>
                <w:color w:val="222222"/>
                <w:sz w:val="19"/>
                <w:szCs w:val="19"/>
              </w:rPr>
              <w:t xml:space="preserve"> Bonus) for lower-income, lower-asset Singaporeans born 1973 or earlier.</w:t>
            </w:r>
          </w:p>
        </w:tc>
      </w:tr>
      <w:tr w:rsidR="00740B59" w14:paraId="00669245" w14:textId="77777777">
        <w:tblPrEx>
          <w:tblCellMar>
            <w:top w:w="0" w:type="dxa"/>
            <w:bottom w:w="0" w:type="dxa"/>
          </w:tblCellMar>
        </w:tblPrEx>
        <w:tc>
          <w:tcPr>
            <w:tcW w:w="1700" w:type="dxa"/>
            <w:shd w:val="clear" w:color="auto" w:fill="F2F2F2"/>
            <w:tcMar>
              <w:top w:w="80" w:type="dxa"/>
              <w:left w:w="110" w:type="dxa"/>
              <w:bottom w:w="80" w:type="dxa"/>
              <w:right w:w="110" w:type="dxa"/>
            </w:tcMar>
            <w:vAlign w:val="center"/>
          </w:tcPr>
          <w:p w14:paraId="66DD2D01" w14:textId="77777777" w:rsidR="00740B59" w:rsidRDefault="00000000">
            <w:r>
              <w:rPr>
                <w:color w:val="222222"/>
                <w:sz w:val="19"/>
                <w:szCs w:val="19"/>
              </w:rPr>
              <w:t>2028 (planned)</w:t>
            </w:r>
          </w:p>
        </w:tc>
        <w:tc>
          <w:tcPr>
            <w:tcW w:w="8300" w:type="dxa"/>
            <w:shd w:val="clear" w:color="auto" w:fill="F2F2F2"/>
            <w:tcMar>
              <w:top w:w="80" w:type="dxa"/>
              <w:left w:w="110" w:type="dxa"/>
              <w:bottom w:w="80" w:type="dxa"/>
              <w:right w:w="110" w:type="dxa"/>
            </w:tcMar>
            <w:vAlign w:val="center"/>
          </w:tcPr>
          <w:p w14:paraId="4E146B56" w14:textId="77777777" w:rsidR="00740B59" w:rsidRDefault="00000000">
            <w:pPr>
              <w:jc w:val="center"/>
            </w:pPr>
            <w:r>
              <w:rPr>
                <w:color w:val="222222"/>
                <w:sz w:val="19"/>
                <w:szCs w:val="19"/>
              </w:rPr>
              <w:t>New voluntary, low-cost "life-cycle" CPF investment scheme, with CPF Board pre-selecting 2–3 providers offering a simplified menu — aimed at members who want some market exposure without today's fragmented CPFIS fund list.</w:t>
            </w:r>
          </w:p>
        </w:tc>
      </w:tr>
    </w:tbl>
    <w:p w14:paraId="7A06143D" w14:textId="77777777" w:rsidR="00740B59" w:rsidRDefault="00000000">
      <w:pPr>
        <w:spacing w:after="260"/>
      </w:pPr>
      <w:r>
        <w:rPr>
          <w:i/>
          <w:iCs/>
          <w:color w:val="5B5F66"/>
          <w:sz w:val="17"/>
          <w:szCs w:val="17"/>
        </w:rPr>
        <w:t xml:space="preserve">Source: CPF Board, Budget Highlights 2026 and "CPF changes announced in Budget 2026"; DBS, "Key CPF changes in 2025" and "in 2026"; CPF Board FAQs on the </w:t>
      </w:r>
      <w:proofErr w:type="spellStart"/>
      <w:r>
        <w:rPr>
          <w:i/>
          <w:iCs/>
          <w:color w:val="5B5F66"/>
          <w:sz w:val="17"/>
          <w:szCs w:val="17"/>
        </w:rPr>
        <w:t>Majulah</w:t>
      </w:r>
      <w:proofErr w:type="spellEnd"/>
      <w:r>
        <w:rPr>
          <w:i/>
          <w:iCs/>
          <w:color w:val="5B5F66"/>
          <w:sz w:val="17"/>
          <w:szCs w:val="17"/>
        </w:rPr>
        <w:t xml:space="preserve"> Package; </w:t>
      </w:r>
      <w:proofErr w:type="spellStart"/>
      <w:r>
        <w:rPr>
          <w:i/>
          <w:iCs/>
          <w:color w:val="5B5F66"/>
          <w:sz w:val="17"/>
          <w:szCs w:val="17"/>
        </w:rPr>
        <w:t>Growbeansprout</w:t>
      </w:r>
      <w:proofErr w:type="spellEnd"/>
      <w:r>
        <w:rPr>
          <w:i/>
          <w:iCs/>
          <w:color w:val="5B5F66"/>
          <w:sz w:val="17"/>
          <w:szCs w:val="17"/>
        </w:rPr>
        <w:t>, "6 CPF changes in 2026."</w:t>
      </w:r>
    </w:p>
    <w:p w14:paraId="56436AB0" w14:textId="77777777" w:rsidR="00740B59" w:rsidRDefault="00000000">
      <w:pPr>
        <w:pStyle w:val="Heading2"/>
        <w:spacing w:before="280" w:after="140"/>
      </w:pPr>
      <w:r>
        <w:rPr>
          <w:b/>
          <w:bCs/>
          <w:color w:val="0F6E6E"/>
          <w:sz w:val="24"/>
          <w:szCs w:val="24"/>
        </w:rPr>
        <w:t>8.1 Reading the direction of travel</w:t>
      </w:r>
    </w:p>
    <w:p w14:paraId="7360B3D5" w14:textId="77777777" w:rsidR="00740B59" w:rsidRDefault="00000000">
      <w:pPr>
        <w:spacing w:after="160" w:line="288" w:lineRule="auto"/>
        <w:jc w:val="both"/>
      </w:pPr>
      <w:r>
        <w:rPr>
          <w:color w:val="222222"/>
        </w:rPr>
        <w:t xml:space="preserve">Three threads run through the 2023–2028 reform programme. First, the wage ceilings (OW ceiling, Annual Limit) are being reset upward after years of being static, so a larger share of a working professional's income is captured for retirement — directly relevant if you are drawing a private-sector salary above the old $6,000 OW ceiling. Second, the ERS increase to 4x BRS and the Special Account closure both push more discretion and more capital toward the Retirement Account specifically — the government is visibly encouraging members with spare liquidity to voluntarily </w:t>
      </w:r>
      <w:proofErr w:type="spellStart"/>
      <w:r>
        <w:rPr>
          <w:color w:val="222222"/>
        </w:rPr>
        <w:t>annuitise</w:t>
      </w:r>
      <w:proofErr w:type="spellEnd"/>
      <w:r>
        <w:rPr>
          <w:color w:val="222222"/>
        </w:rPr>
        <w:t xml:space="preserve"> more, rather than raising the payout eligibility age or the compulsory FRS itself. Third, senior-worker contribution rates are still being deliberately raised in stages (through 2027) to close the gap with under-55 rates, which — combined with Singapore's rising retirement-cohort life expectancy — is the policy lever most likely to see further adjustment beyond 2027.</w:t>
      </w:r>
    </w:p>
    <w:p w14:paraId="5FDFE0AC" w14:textId="77777777" w:rsidR="00740B59" w:rsidRDefault="00000000">
      <w:pPr>
        <w:pStyle w:val="Heading2"/>
        <w:spacing w:before="280" w:after="140"/>
      </w:pPr>
      <w:r>
        <w:rPr>
          <w:b/>
          <w:bCs/>
          <w:color w:val="0F6E6E"/>
          <w:sz w:val="24"/>
          <w:szCs w:val="24"/>
        </w:rPr>
        <w:t>8.2 What to watch for beyond 2026</w:t>
      </w:r>
    </w:p>
    <w:p w14:paraId="2ABB0EB6" w14:textId="77777777" w:rsidR="00740B59" w:rsidRDefault="00000000">
      <w:pPr>
        <w:pStyle w:val="ListParagraph"/>
        <w:numPr>
          <w:ilvl w:val="0"/>
          <w:numId w:val="2"/>
        </w:numPr>
        <w:spacing w:after="90" w:line="276" w:lineRule="auto"/>
      </w:pPr>
      <w:r>
        <w:rPr>
          <w:color w:val="222222"/>
        </w:rPr>
        <w:t>Whether the ERS multiple (now 4x BRS) is raised again, or whether further increases shift toward voluntary top-up incentives rather than statutory multiples.</w:t>
      </w:r>
    </w:p>
    <w:p w14:paraId="653028FE" w14:textId="77777777" w:rsidR="00740B59" w:rsidRDefault="00000000">
      <w:pPr>
        <w:pStyle w:val="ListParagraph"/>
        <w:numPr>
          <w:ilvl w:val="0"/>
          <w:numId w:val="2"/>
        </w:numPr>
        <w:spacing w:after="90" w:line="276" w:lineRule="auto"/>
      </w:pPr>
      <w:r>
        <w:rPr>
          <w:color w:val="222222"/>
        </w:rPr>
        <w:t>How the 2028 life-cycle investment scheme is priced and whether it changes the “CPF LIFE vs SRS/DIY” calculus in Section 7 for members who want some CPF-linked market exposure without fully committing to CPFIS today.</w:t>
      </w:r>
    </w:p>
    <w:p w14:paraId="03A1800E" w14:textId="77777777" w:rsidR="00740B59" w:rsidRDefault="00000000">
      <w:pPr>
        <w:pStyle w:val="ListParagraph"/>
        <w:numPr>
          <w:ilvl w:val="0"/>
          <w:numId w:val="2"/>
        </w:numPr>
        <w:spacing w:after="90" w:line="276" w:lineRule="auto"/>
      </w:pPr>
      <w:r>
        <w:rPr>
          <w:color w:val="222222"/>
        </w:rPr>
        <w:lastRenderedPageBreak/>
        <w:t>Whether the 4% interest-rate floor is extended again for 2027 — it has been renewed annually rather than made permanent, so it remains a policy lever rather than a fixed guarantee.</w:t>
      </w:r>
    </w:p>
    <w:p w14:paraId="65BA3C27" w14:textId="77777777" w:rsidR="00740B59" w:rsidRDefault="00000000">
      <w:pPr>
        <w:pStyle w:val="ListParagraph"/>
        <w:numPr>
          <w:ilvl w:val="0"/>
          <w:numId w:val="2"/>
        </w:numPr>
        <w:spacing w:after="90" w:line="276" w:lineRule="auto"/>
      </w:pPr>
      <w:r>
        <w:rPr>
          <w:color w:val="222222"/>
        </w:rPr>
        <w:t>Any move on the Payout Eligibility Age itself (currently untouched at 65) as life expectancy continues to rise — this has not been announced but is the most-discussed long-run possibility in policy commentary.</w:t>
      </w:r>
    </w:p>
    <w:p w14:paraId="34A27E4F" w14:textId="77777777" w:rsidR="00740B59" w:rsidRDefault="00000000">
      <w:r>
        <w:br w:type="page"/>
      </w:r>
    </w:p>
    <w:p w14:paraId="58D463E1" w14:textId="77777777" w:rsidR="00740B59" w:rsidRDefault="00000000">
      <w:pPr>
        <w:pStyle w:val="Heading1"/>
        <w:pBdr>
          <w:bottom w:val="single" w:sz="8" w:space="4" w:color="B8860B"/>
        </w:pBdr>
        <w:spacing w:before="420" w:after="200"/>
      </w:pPr>
      <w:r>
        <w:rPr>
          <w:b/>
          <w:bCs/>
          <w:color w:val="1B2A4A"/>
          <w:sz w:val="30"/>
          <w:szCs w:val="30"/>
        </w:rPr>
        <w:lastRenderedPageBreak/>
        <w:t>Sources</w:t>
      </w:r>
    </w:p>
    <w:p w14:paraId="67089E01" w14:textId="77777777" w:rsidR="00740B59" w:rsidRDefault="00000000">
      <w:pPr>
        <w:spacing w:after="160" w:line="288" w:lineRule="auto"/>
        <w:jc w:val="both"/>
      </w:pPr>
      <w:r>
        <w:rPr>
          <w:color w:val="222222"/>
        </w:rPr>
        <w:t>Primary and official sources</w:t>
      </w:r>
    </w:p>
    <w:p w14:paraId="50A28273" w14:textId="77777777" w:rsidR="00740B59" w:rsidRDefault="00000000">
      <w:pPr>
        <w:pStyle w:val="ListParagraph"/>
        <w:numPr>
          <w:ilvl w:val="0"/>
          <w:numId w:val="2"/>
        </w:numPr>
        <w:spacing w:after="90" w:line="276" w:lineRule="auto"/>
      </w:pPr>
      <w:r>
        <w:rPr>
          <w:color w:val="222222"/>
        </w:rPr>
        <w:t xml:space="preserve">CPF Board (cpf.gov.sg) — "Who can join CPF LIFE?"; "Receive lifelong monthly payouts with CPF LIFE"; "What are the retirement sums – BRS, FRS and ERS?"; "What is the CPF retirement sum?"; "What is the Enhanced Retirement Sum (ERS)?"; "CPF LIFE premiums: how does it work?"; "How risk-pooling supports lifelong CPF LIFE payouts"; "Should you defer your CPF LIFE payouts?"; "What is the CPF LIFE payout age?"; "4 ways to grow your retirement payouts"; "How to use CPF LIFE as the cornerstone of your retirement planning"; news releases on the 4% interest-rate floor extension and Budget 2026 CPF Highlights; FAQs on the </w:t>
      </w:r>
      <w:proofErr w:type="spellStart"/>
      <w:r>
        <w:rPr>
          <w:color w:val="222222"/>
        </w:rPr>
        <w:t>Majulah</w:t>
      </w:r>
      <w:proofErr w:type="spellEnd"/>
      <w:r>
        <w:rPr>
          <w:color w:val="222222"/>
        </w:rPr>
        <w:t xml:space="preserve"> Package.</w:t>
      </w:r>
    </w:p>
    <w:p w14:paraId="057359CF" w14:textId="77777777" w:rsidR="00740B59" w:rsidRDefault="00000000">
      <w:pPr>
        <w:pStyle w:val="ListParagraph"/>
        <w:numPr>
          <w:ilvl w:val="0"/>
          <w:numId w:val="2"/>
        </w:numPr>
        <w:spacing w:after="90" w:line="276" w:lineRule="auto"/>
      </w:pPr>
      <w:r>
        <w:rPr>
          <w:color w:val="222222"/>
        </w:rPr>
        <w:t>Ministry of Finance / gov.sg — Budget 2022 Annex E-3 (Basic Retirement Sums 2023–2027); gov.sg explainer, "Can I make lump-sum CPF withdrawals?"</w:t>
      </w:r>
    </w:p>
    <w:p w14:paraId="3549207C" w14:textId="77777777" w:rsidR="00740B59" w:rsidRDefault="00000000">
      <w:pPr>
        <w:pStyle w:val="ListParagraph"/>
        <w:numPr>
          <w:ilvl w:val="0"/>
          <w:numId w:val="2"/>
        </w:numPr>
        <w:spacing w:after="90" w:line="276" w:lineRule="auto"/>
      </w:pPr>
      <w:r>
        <w:rPr>
          <w:color w:val="222222"/>
        </w:rPr>
        <w:t>Ministry of Manpower — press replies and fact-checks on CPF lump-sum withdrawal policy (2020).</w:t>
      </w:r>
    </w:p>
    <w:p w14:paraId="516FF70F" w14:textId="77777777" w:rsidR="00740B59" w:rsidRDefault="00000000">
      <w:pPr>
        <w:pStyle w:val="ListParagraph"/>
        <w:numPr>
          <w:ilvl w:val="0"/>
          <w:numId w:val="2"/>
        </w:numPr>
        <w:spacing w:after="90" w:line="276" w:lineRule="auto"/>
      </w:pPr>
      <w:r>
        <w:rPr>
          <w:color w:val="222222"/>
        </w:rPr>
        <w:t>MoneySense (Singapore government financial-guidance portal) — "Options for your retirement income."</w:t>
      </w:r>
    </w:p>
    <w:p w14:paraId="4F65D543" w14:textId="77777777" w:rsidR="00740B59" w:rsidRDefault="00000000">
      <w:pPr>
        <w:pStyle w:val="ListParagraph"/>
        <w:numPr>
          <w:ilvl w:val="0"/>
          <w:numId w:val="2"/>
        </w:numPr>
        <w:spacing w:after="90" w:line="276" w:lineRule="auto"/>
      </w:pPr>
      <w:r>
        <w:rPr>
          <w:color w:val="222222"/>
        </w:rPr>
        <w:t xml:space="preserve">National Library Board / </w:t>
      </w:r>
      <w:proofErr w:type="spellStart"/>
      <w:r>
        <w:rPr>
          <w:color w:val="222222"/>
        </w:rPr>
        <w:t>BiblioAsia</w:t>
      </w:r>
      <w:proofErr w:type="spellEnd"/>
      <w:r>
        <w:rPr>
          <w:color w:val="222222"/>
        </w:rPr>
        <w:t xml:space="preserve"> — "How the CPF Scheme Came to Be" (Jan–Mar 2025).</w:t>
      </w:r>
    </w:p>
    <w:p w14:paraId="10B34AE0" w14:textId="77777777" w:rsidR="00740B59" w:rsidRDefault="00000000">
      <w:pPr>
        <w:spacing w:after="160" w:line="288" w:lineRule="auto"/>
        <w:jc w:val="both"/>
      </w:pPr>
      <w:r>
        <w:rPr>
          <w:color w:val="222222"/>
        </w:rPr>
        <w:t>Academic and research sources</w:t>
      </w:r>
    </w:p>
    <w:p w14:paraId="494C3D8E" w14:textId="77777777" w:rsidR="00740B59" w:rsidRDefault="00000000">
      <w:pPr>
        <w:pStyle w:val="ListParagraph"/>
        <w:numPr>
          <w:ilvl w:val="0"/>
          <w:numId w:val="2"/>
        </w:numPr>
        <w:spacing w:after="90" w:line="276" w:lineRule="auto"/>
      </w:pPr>
      <w:r>
        <w:rPr>
          <w:color w:val="222222"/>
        </w:rPr>
        <w:t>Journal of Pension Economics &amp; Finance (Cambridge University Press) — "Mandatory annuitization and money's worth: evidence from Singapore."</w:t>
      </w:r>
    </w:p>
    <w:p w14:paraId="0CE243AF" w14:textId="77777777" w:rsidR="00740B59" w:rsidRDefault="00000000">
      <w:pPr>
        <w:spacing w:after="160" w:line="288" w:lineRule="auto"/>
        <w:jc w:val="both"/>
      </w:pPr>
      <w:r>
        <w:rPr>
          <w:color w:val="222222"/>
        </w:rPr>
        <w:t>Industry and financial-media sources (used for worked examples, comparative tables and reform summaries)</w:t>
      </w:r>
    </w:p>
    <w:p w14:paraId="5F4B54E8" w14:textId="77777777" w:rsidR="00740B59" w:rsidRDefault="00000000">
      <w:pPr>
        <w:pStyle w:val="ListParagraph"/>
        <w:numPr>
          <w:ilvl w:val="0"/>
          <w:numId w:val="2"/>
        </w:numPr>
        <w:spacing w:after="90" w:line="276" w:lineRule="auto"/>
      </w:pPr>
      <w:r>
        <w:rPr>
          <w:color w:val="222222"/>
        </w:rPr>
        <w:t>DollarsAndSense.sg — "CPF LIFE Standard, Basic Or Escalating Plan."</w:t>
      </w:r>
    </w:p>
    <w:p w14:paraId="68053B4B" w14:textId="77777777" w:rsidR="00740B59" w:rsidRDefault="00000000">
      <w:pPr>
        <w:pStyle w:val="ListParagraph"/>
        <w:numPr>
          <w:ilvl w:val="0"/>
          <w:numId w:val="2"/>
        </w:numPr>
        <w:spacing w:after="90" w:line="276" w:lineRule="auto"/>
      </w:pPr>
      <w:proofErr w:type="spellStart"/>
      <w:r>
        <w:rPr>
          <w:color w:val="222222"/>
        </w:rPr>
        <w:t>Endowus</w:t>
      </w:r>
      <w:proofErr w:type="spellEnd"/>
      <w:r>
        <w:rPr>
          <w:color w:val="222222"/>
        </w:rPr>
        <w:t xml:space="preserve"> SG — "Retirement plans in Singapore vs CPF LIFE"; "Using CPF LIFE to unlock monthly retirement income."</w:t>
      </w:r>
    </w:p>
    <w:p w14:paraId="2BC0A57B" w14:textId="77777777" w:rsidR="00740B59" w:rsidRDefault="00000000">
      <w:pPr>
        <w:pStyle w:val="ListParagraph"/>
        <w:numPr>
          <w:ilvl w:val="0"/>
          <w:numId w:val="2"/>
        </w:numPr>
        <w:spacing w:after="90" w:line="276" w:lineRule="auto"/>
      </w:pPr>
      <w:r>
        <w:rPr>
          <w:color w:val="222222"/>
        </w:rPr>
        <w:t>SmartWealth.sg — "CPF Retirement Sums (2026): BRS, FRS &amp; ERS Full Table."</w:t>
      </w:r>
    </w:p>
    <w:p w14:paraId="1899357B" w14:textId="77777777" w:rsidR="00740B59" w:rsidRDefault="00000000">
      <w:pPr>
        <w:pStyle w:val="ListParagraph"/>
        <w:numPr>
          <w:ilvl w:val="0"/>
          <w:numId w:val="2"/>
        </w:numPr>
        <w:spacing w:after="90" w:line="276" w:lineRule="auto"/>
      </w:pPr>
      <w:r>
        <w:rPr>
          <w:color w:val="222222"/>
        </w:rPr>
        <w:t>Growbeansprout.com — "CPF contribution changes from 1 Jan 2026"; "6 CPF changes in 2026"; "CPF Retirement Sum: Guide to FRS, ERS and BRS in 2026."</w:t>
      </w:r>
    </w:p>
    <w:p w14:paraId="48A56256" w14:textId="77777777" w:rsidR="00740B59" w:rsidRDefault="00000000">
      <w:pPr>
        <w:pStyle w:val="ListParagraph"/>
        <w:numPr>
          <w:ilvl w:val="0"/>
          <w:numId w:val="2"/>
        </w:numPr>
        <w:spacing w:after="90" w:line="276" w:lineRule="auto"/>
      </w:pPr>
      <w:r>
        <w:rPr>
          <w:color w:val="222222"/>
        </w:rPr>
        <w:t>DBS — "Key CPF changes in 2025"; "Key CPF changes in 2026."</w:t>
      </w:r>
    </w:p>
    <w:p w14:paraId="0BBA4EFE" w14:textId="77777777" w:rsidR="00740B59" w:rsidRDefault="00000000">
      <w:pPr>
        <w:spacing w:after="160" w:line="288" w:lineRule="auto"/>
        <w:jc w:val="both"/>
      </w:pPr>
      <w:r>
        <w:rPr>
          <w:color w:val="222222"/>
        </w:rPr>
        <w:t>All figures reflect published information current to September 2026 and should be re-verified against cpf.gov.sg before being used for individual financial decisions; this briefing is informational and does not constitute financial or legal advice.</w:t>
      </w:r>
    </w:p>
    <w:sectPr w:rsidR="00740B59">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AF3A00" w14:textId="77777777" w:rsidR="00D41445" w:rsidRDefault="00D41445">
      <w:r>
        <w:separator/>
      </w:r>
    </w:p>
  </w:endnote>
  <w:endnote w:type="continuationSeparator" w:id="0">
    <w:p w14:paraId="5704D05A" w14:textId="77777777" w:rsidR="00D41445" w:rsidRDefault="00D414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639E1F" w14:textId="77777777" w:rsidR="00740B59" w:rsidRDefault="00000000">
    <w:pPr>
      <w:jc w:val="center"/>
    </w:pPr>
    <w:r>
      <w:rPr>
        <w:color w:val="5B5F66"/>
        <w:sz w:val="15"/>
        <w:szCs w:val="15"/>
      </w:rPr>
      <w:t xml:space="preserve">Page </w:t>
    </w:r>
    <w:r>
      <w:rPr>
        <w:color w:val="5B5F66"/>
        <w:sz w:val="15"/>
        <w:szCs w:val="15"/>
      </w:rPr>
      <w:fldChar w:fldCharType="begin"/>
    </w:r>
    <w:r>
      <w:rPr>
        <w:color w:val="5B5F66"/>
        <w:sz w:val="15"/>
        <w:szCs w:val="15"/>
      </w:rPr>
      <w:instrText>PAGE</w:instrText>
    </w:r>
    <w:r>
      <w:rPr>
        <w:color w:val="5B5F66"/>
        <w:sz w:val="15"/>
        <w:szCs w:val="15"/>
      </w:rPr>
      <w:fldChar w:fldCharType="separate"/>
    </w:r>
    <w:r w:rsidR="00A94817">
      <w:rPr>
        <w:noProof/>
        <w:color w:val="5B5F66"/>
        <w:sz w:val="15"/>
        <w:szCs w:val="15"/>
      </w:rPr>
      <w:t>1</w:t>
    </w:r>
    <w:r>
      <w:rPr>
        <w:color w:val="5B5F66"/>
        <w:sz w:val="15"/>
        <w:szCs w:val="15"/>
      </w:rPr>
      <w:fldChar w:fldCharType="end"/>
    </w:r>
    <w:r>
      <w:rPr>
        <w:color w:val="5B5F66"/>
        <w:sz w:val="15"/>
        <w:szCs w:val="15"/>
      </w:rPr>
      <w:t xml:space="preserve"> of </w:t>
    </w:r>
    <w:r>
      <w:rPr>
        <w:color w:val="5B5F66"/>
        <w:sz w:val="15"/>
        <w:szCs w:val="15"/>
      </w:rPr>
      <w:fldChar w:fldCharType="begin"/>
    </w:r>
    <w:r>
      <w:rPr>
        <w:color w:val="5B5F66"/>
        <w:sz w:val="15"/>
        <w:szCs w:val="15"/>
      </w:rPr>
      <w:instrText>NUMPAGES</w:instrText>
    </w:r>
    <w:r>
      <w:rPr>
        <w:color w:val="5B5F66"/>
        <w:sz w:val="15"/>
        <w:szCs w:val="15"/>
      </w:rPr>
      <w:fldChar w:fldCharType="separate"/>
    </w:r>
    <w:r w:rsidR="00A94817">
      <w:rPr>
        <w:noProof/>
        <w:color w:val="5B5F66"/>
        <w:sz w:val="15"/>
        <w:szCs w:val="15"/>
      </w:rPr>
      <w:t>2</w:t>
    </w:r>
    <w:r>
      <w:rPr>
        <w:color w:val="5B5F66"/>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041E0D" w14:textId="77777777" w:rsidR="00D41445" w:rsidRDefault="00D41445">
      <w:r>
        <w:separator/>
      </w:r>
    </w:p>
  </w:footnote>
  <w:footnote w:type="continuationSeparator" w:id="0">
    <w:p w14:paraId="617CE362" w14:textId="77777777" w:rsidR="00D41445" w:rsidRDefault="00D414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6AAB12" w14:textId="77777777" w:rsidR="00740B59" w:rsidRDefault="00000000">
    <w:pPr>
      <w:pBdr>
        <w:bottom w:val="single" w:sz="4" w:space="4" w:color="C9C9C9"/>
      </w:pBdr>
      <w:tabs>
        <w:tab w:val="right" w:pos="9026"/>
      </w:tabs>
    </w:pPr>
    <w:r>
      <w:rPr>
        <w:color w:val="5B5F66"/>
        <w:sz w:val="15"/>
        <w:szCs w:val="15"/>
      </w:rPr>
      <w:t>CPF LIFE — Deep Research Briefing</w:t>
    </w:r>
    <w:r>
      <w:rPr>
        <w:color w:val="5B5F66"/>
        <w:sz w:val="15"/>
        <w:szCs w:val="15"/>
      </w:rPr>
      <w:tab/>
      <w:t>Jeffery Neng · September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4981B49"/>
    <w:multiLevelType w:val="hybridMultilevel"/>
    <w:tmpl w:val="075E0B64"/>
    <w:lvl w:ilvl="0" w:tplc="5EA0B0A0">
      <w:start w:val="1"/>
      <w:numFmt w:val="bullet"/>
      <w:lvlText w:val="•"/>
      <w:lvlJc w:val="left"/>
      <w:pPr>
        <w:ind w:left="420" w:hanging="260"/>
      </w:pPr>
    </w:lvl>
    <w:lvl w:ilvl="1" w:tplc="55A62128">
      <w:start w:val="1"/>
      <w:numFmt w:val="bullet"/>
      <w:lvlText w:val="–"/>
      <w:lvlJc w:val="left"/>
      <w:pPr>
        <w:ind w:left="820" w:hanging="260"/>
      </w:pPr>
    </w:lvl>
    <w:lvl w:ilvl="2" w:tplc="83889BF0">
      <w:numFmt w:val="decimal"/>
      <w:lvlText w:val=""/>
      <w:lvlJc w:val="left"/>
    </w:lvl>
    <w:lvl w:ilvl="3" w:tplc="CC3EE36A">
      <w:numFmt w:val="decimal"/>
      <w:lvlText w:val=""/>
      <w:lvlJc w:val="left"/>
    </w:lvl>
    <w:lvl w:ilvl="4" w:tplc="FDA2EDAC">
      <w:numFmt w:val="decimal"/>
      <w:lvlText w:val=""/>
      <w:lvlJc w:val="left"/>
    </w:lvl>
    <w:lvl w:ilvl="5" w:tplc="7E8897F0">
      <w:numFmt w:val="decimal"/>
      <w:lvlText w:val=""/>
      <w:lvlJc w:val="left"/>
    </w:lvl>
    <w:lvl w:ilvl="6" w:tplc="55481408">
      <w:numFmt w:val="decimal"/>
      <w:lvlText w:val=""/>
      <w:lvlJc w:val="left"/>
    </w:lvl>
    <w:lvl w:ilvl="7" w:tplc="F2F400F8">
      <w:numFmt w:val="decimal"/>
      <w:lvlText w:val=""/>
      <w:lvlJc w:val="left"/>
    </w:lvl>
    <w:lvl w:ilvl="8" w:tplc="A12C908C">
      <w:numFmt w:val="decimal"/>
      <w:lvlText w:val=""/>
      <w:lvlJc w:val="left"/>
    </w:lvl>
  </w:abstractNum>
  <w:abstractNum w:abstractNumId="1" w15:restartNumberingAfterBreak="0">
    <w:nsid w:val="75A22BAB"/>
    <w:multiLevelType w:val="hybridMultilevel"/>
    <w:tmpl w:val="13FE5CFE"/>
    <w:lvl w:ilvl="0" w:tplc="E69CA126">
      <w:start w:val="1"/>
      <w:numFmt w:val="bullet"/>
      <w:lvlText w:val="●"/>
      <w:lvlJc w:val="left"/>
      <w:pPr>
        <w:ind w:left="720" w:hanging="360"/>
      </w:pPr>
    </w:lvl>
    <w:lvl w:ilvl="1" w:tplc="B63EDCF8">
      <w:start w:val="1"/>
      <w:numFmt w:val="bullet"/>
      <w:lvlText w:val="○"/>
      <w:lvlJc w:val="left"/>
      <w:pPr>
        <w:ind w:left="1440" w:hanging="360"/>
      </w:pPr>
    </w:lvl>
    <w:lvl w:ilvl="2" w:tplc="8F2C23F0">
      <w:start w:val="1"/>
      <w:numFmt w:val="bullet"/>
      <w:lvlText w:val="■"/>
      <w:lvlJc w:val="left"/>
      <w:pPr>
        <w:ind w:left="2160" w:hanging="360"/>
      </w:pPr>
    </w:lvl>
    <w:lvl w:ilvl="3" w:tplc="F236AD28">
      <w:start w:val="1"/>
      <w:numFmt w:val="bullet"/>
      <w:lvlText w:val="●"/>
      <w:lvlJc w:val="left"/>
      <w:pPr>
        <w:ind w:left="2880" w:hanging="360"/>
      </w:pPr>
    </w:lvl>
    <w:lvl w:ilvl="4" w:tplc="63BC80E0">
      <w:start w:val="1"/>
      <w:numFmt w:val="bullet"/>
      <w:lvlText w:val="○"/>
      <w:lvlJc w:val="left"/>
      <w:pPr>
        <w:ind w:left="3600" w:hanging="360"/>
      </w:pPr>
    </w:lvl>
    <w:lvl w:ilvl="5" w:tplc="9684EF8A">
      <w:start w:val="1"/>
      <w:numFmt w:val="bullet"/>
      <w:lvlText w:val="■"/>
      <w:lvlJc w:val="left"/>
      <w:pPr>
        <w:ind w:left="4320" w:hanging="360"/>
      </w:pPr>
    </w:lvl>
    <w:lvl w:ilvl="6" w:tplc="205CC2D4">
      <w:start w:val="1"/>
      <w:numFmt w:val="bullet"/>
      <w:lvlText w:val="●"/>
      <w:lvlJc w:val="left"/>
      <w:pPr>
        <w:ind w:left="5040" w:hanging="360"/>
      </w:pPr>
    </w:lvl>
    <w:lvl w:ilvl="7" w:tplc="B47A2898">
      <w:start w:val="1"/>
      <w:numFmt w:val="bullet"/>
      <w:lvlText w:val="●"/>
      <w:lvlJc w:val="left"/>
      <w:pPr>
        <w:ind w:left="5760" w:hanging="360"/>
      </w:pPr>
    </w:lvl>
    <w:lvl w:ilvl="8" w:tplc="9F30953E">
      <w:start w:val="1"/>
      <w:numFmt w:val="bullet"/>
      <w:lvlText w:val="●"/>
      <w:lvlJc w:val="left"/>
      <w:pPr>
        <w:ind w:left="6480" w:hanging="360"/>
      </w:pPr>
    </w:lvl>
  </w:abstractNum>
  <w:num w:numId="1" w16cid:durableId="742682528">
    <w:abstractNumId w:val="1"/>
    <w:lvlOverride w:ilvl="0">
      <w:startOverride w:val="1"/>
    </w:lvlOverride>
  </w:num>
  <w:num w:numId="2" w16cid:durableId="16931441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B59"/>
    <w:rsid w:val="001C5B9E"/>
    <w:rsid w:val="00740B59"/>
    <w:rsid w:val="00A94817"/>
    <w:rsid w:val="00D4144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247AC01"/>
  <w15:docId w15:val="{B8B28B13-9D8B-7742-A5D9-0BD4EC597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1"/>
        <w:szCs w:val="21"/>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4826</Words>
  <Characters>27514</Characters>
  <Application>Microsoft Office Word</Application>
  <DocSecurity>0</DocSecurity>
  <Lines>229</Lines>
  <Paragraphs>64</Paragraphs>
  <ScaleCrop>false</ScaleCrop>
  <Company/>
  <LinksUpToDate>false</LinksUpToDate>
  <CharactersWithSpaces>32276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e34888</cp:lastModifiedBy>
  <cp:revision>2</cp:revision>
  <dcterms:created xsi:type="dcterms:W3CDTF">2026-09-13T07:30:00Z</dcterms:created>
  <dcterms:modified xsi:type="dcterms:W3CDTF">2026-09-13T13:30:00Z</dcterms:modified>
</cp:coreProperties>
</file>