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6" w:space="1" w:color="auto"/>
        </w:pBdr>
      </w:pPr>
      <w:r>
        <w:rPr>
          <w:rFonts w:ascii="Calibri" w:hAnsi="Calibri" w:eastAsia="Calibri"/>
          <w:b/>
          <w:color w:val="B40000"/>
          <w:sz w:val="28"/>
        </w:rPr>
        <w:t>SYNTHETIC TRAINING DOCUMENT - NOT A REAL PATIENT</w:t>
      </w:r>
    </w:p>
    <w:p>
      <w:pPr>
        <w:jc w:val="left"/>
        <w:pBdr>
          <w:bottom w:val="single" w:sz="6" w:space="1" w:color="auto"/>
        </w:pBdr>
      </w:pPr>
      <w:r>
        <w:rPr>
          <w:rFonts w:ascii="Calibri" w:hAnsi="Calibri" w:eastAsia="Calibri"/>
          <w:b/>
          <w:sz w:val="32"/>
        </w:rPr>
        <w:t>Lakeside Oncology Consultants</w:t>
        <w:br/>
      </w:r>
      <w:r>
        <w:rPr>
          <w:rFonts w:ascii="Calibri" w:hAnsi="Calibri" w:eastAsia="Calibri"/>
          <w:sz w:val="20"/>
        </w:rPr>
        <w:t>820 W Belmont Ave, Suite 410, Chicago, IL 60657 | Tel (312) 555-0184 | Fax (312) 555-0199</w:t>
        <w:br/>
      </w:r>
    </w:p>
    <w:tbl>
      <w:tblPr>
        <w:tblStyle w:val="LightShading-Accent1"/>
        <w:tblW w:type="auto" w:w="0"/>
        <w:jc w:val="left"/>
        <w:tblLook w:firstColumn="1" w:firstRow="1" w:lastColumn="0" w:lastRow="0" w:noHBand="0" w:noVBand="1" w:val="04A0"/>
      </w:tblPr>
      <w:tblGrid>
        <w:gridCol w:w="3360"/>
        <w:gridCol w:w="3360"/>
        <w:gridCol w:w="3360"/>
      </w:tblGrid>
      <w:tr>
        <w:tc>
          <w:tcPr>
            <w:tcW w:type="dxa" w:w="3360"/>
          </w:tcPr>
          <w:p>
            <w:r>
              <w:t>FAX TO</w:t>
            </w:r>
          </w:p>
        </w:tc>
        <w:tc>
          <w:tcPr>
            <w:tcW w:type="dxa" w:w="3360"/>
          </w:tcPr>
          <w:p>
            <w:r>
              <w:t>University Cancer Center - Solid Tumor Service</w:t>
            </w:r>
          </w:p>
        </w:tc>
        <w:tc>
          <w:tcPr>
            <w:tcW w:type="dxa" w:w="3360"/>
          </w:tcPr>
          <w:p>
            <w:r>
              <w:t>PAGES</w:t>
            </w:r>
          </w:p>
        </w:tc>
      </w:tr>
      <w:tr>
        <w:tc>
          <w:tcPr>
            <w:tcW w:type="dxa" w:w="3360"/>
          </w:tcPr>
          <w:p>
            <w:r>
              <w:t>SUBJECT</w:t>
            </w:r>
          </w:p>
        </w:tc>
        <w:tc>
          <w:tcPr>
            <w:tcW w:type="dxa" w:w="3360"/>
          </w:tcPr>
          <w:p>
            <w:r>
              <w:t>Second Opinion Consultation - Comprehensive Workup and Staging Summary</w:t>
            </w:r>
          </w:p>
        </w:tc>
        <w:tc>
          <w:tcPr>
            <w:tcW w:type="dxa" w:w="3360"/>
          </w:tcPr>
          <w:p>
            <w:r>
              <w:t>See cover</w:t>
            </w:r>
          </w:p>
        </w:tc>
      </w:tr>
      <w:tr>
        <w:tc>
          <w:tcPr>
            <w:tcW w:type="dxa" w:w="3360"/>
          </w:tcPr>
          <w:p>
            <w:r>
              <w:t>URGENCY</w:t>
            </w:r>
          </w:p>
        </w:tc>
        <w:tc>
          <w:tcPr>
            <w:tcW w:type="dxa" w:w="3360"/>
          </w:tcPr>
          <w:p>
            <w:r>
              <w:t>Routine (appointment requested within 7-10 days)</w:t>
            </w:r>
          </w:p>
        </w:tc>
        <w:tc>
          <w:tcPr>
            <w:tcW w:type="dxa" w:w="3360"/>
          </w:tcPr>
          <w:p>
            <w:r/>
          </w:p>
        </w:tc>
      </w:tr>
      <w:tr>
        <w:tc>
          <w:tcPr>
            <w:tcW w:type="dxa" w:w="3360"/>
          </w:tcPr>
          <w:p>
            <w:r>
              <w:t>PATIENT</w:t>
            </w:r>
          </w:p>
        </w:tc>
        <w:tc>
          <w:tcPr>
            <w:tcW w:type="dxa" w:w="3360"/>
          </w:tcPr>
          <w:p>
            <w:r>
              <w:t>Nina O'Neal (F) DOB 04/10/1972</w:t>
            </w:r>
          </w:p>
        </w:tc>
        <w:tc>
          <w:tcPr>
            <w:tcW w:type="dxa" w:w="3360"/>
          </w:tcPr>
          <w:p>
            <w:r>
              <w:t>MRN 2680743</w:t>
            </w:r>
          </w:p>
        </w:tc>
      </w:tr>
      <w:tr>
        <w:tc>
          <w:tcPr>
            <w:tcW w:type="dxa" w:w="3360"/>
          </w:tcPr>
          <w:p>
            <w:r>
              <w:t>INSURANCE</w:t>
            </w:r>
          </w:p>
        </w:tc>
        <w:tc>
          <w:tcPr>
            <w:tcW w:type="dxa" w:w="3360"/>
          </w:tcPr>
          <w:p>
            <w:r>
              <w:t>Humana - Self-Pay (International) | Member M99930414</w:t>
            </w:r>
          </w:p>
        </w:tc>
        <w:tc>
          <w:tcPr>
            <w:tcW w:type="dxa" w:w="3360"/>
          </w:tcPr>
          <w:p>
            <w:r>
              <w:t>FIN 9544806996</w:t>
            </w:r>
          </w:p>
        </w:tc>
      </w:tr>
    </w:tbl>
    <w:p>
      <w:r>
        <w:rPr>
          <w:sz w:val="18"/>
        </w:rPr>
        <w:br/>
        <w:t>SYNTHETIC IDENTIFIERS ONLY. DO NOT USE FOR CLINICAL CARE.</w:t>
      </w:r>
    </w:p>
    <w:p>
      <w:r>
        <w:br w:type="page"/>
      </w:r>
    </w:p>
    <w:p>
      <w:pPr>
        <w:spacing w:after="200"/>
      </w:pPr>
      <w:r>
        <w:rPr>
          <w:b w:val="0"/>
          <w:i w:val="0"/>
          <w:sz w:val="21"/>
        </w:rPr>
        <w:t>January 14, 2026</w:t>
      </w:r>
    </w:p>
    <w:p>
      <w:pPr>
        <w:spacing w:after="200"/>
      </w:pPr>
      <w:r>
        <w:rPr>
          <w:rFonts w:ascii="Calibri" w:hAnsi="Calibri" w:eastAsia="Calibri"/>
          <w:b/>
          <w:sz w:val="24"/>
        </w:rPr>
        <w:t xml:space="preserve">Re: </w:t>
      </w:r>
      <w:r>
        <w:rPr>
          <w:rFonts w:ascii="Calibri" w:hAnsi="Calibri" w:eastAsia="Calibri"/>
          <w:b/>
          <w:sz w:val="24"/>
        </w:rPr>
        <w:t>Nina O'Neal (DOB 04/10/1972) - Second Opinion and Treatment Strategy</w:t>
        <w:br/>
      </w:r>
    </w:p>
    <w:p>
      <w:pPr>
        <w:spacing w:after="120"/>
      </w:pPr>
      <w:r>
        <w:rPr>
          <w:b w:val="0"/>
          <w:i w:val="0"/>
          <w:sz w:val="21"/>
        </w:rPr>
        <w:t>Dear Colleagues,</w:t>
      </w:r>
    </w:p>
    <w:p>
      <w:pPr>
        <w:spacing w:after="160"/>
      </w:pPr>
      <w:r>
        <w:rPr>
          <w:b w:val="0"/>
          <w:i w:val="0"/>
          <w:sz w:val="21"/>
        </w:rPr>
        <w:t>Patient presents for tertiary oncology second opinion regarding newly diagnosed malignancy with staging already initiated outside pathology demonstrates. Invasive carcinoma with immunohistochemistry supporting primary origin and actionable markers pending recent cross sectional imaging shows dominant mass. With regional nodal disease and no definitive distant metastasis on current studies symptoms include fatigue early satiety weight. Loss and intermittent pain controlled with non opioid analgesics and bowel regimen medical history includes hypertension type 2. Diabetes chronic kidney disease stage 2 and prior tobacco exposure now ceased performance status is ecog 1 with. Independent activities of daily living and intact cognition per caregiver report medications were reconciled with the patient and. Pharmacy fill history and updated to reflect current adherence barriers allergies were reviewed including reaction type timing and. Alternatives already tolerated without incident staging plan includes pet ct for metabolic assessment mri as indicated for local. Extension and baseline tumor markers treatment options reviewed include surgery systemic therapy radiation and clinical trial eligibility based. On biomarker results fertility nutrition and psychosocial needs were assessed with referrals to supportive oncology and social work. Risks and benefits were discussed using shared decision making with written materials provided and follow up arranged patient. Presents for.</w:t>
      </w:r>
    </w:p>
    <w:p>
      <w:pPr>
        <w:spacing w:after="0"/>
      </w:pPr>
      <w:r>
        <w:rPr>
          <w:b w:val="0"/>
          <w:i w:val="0"/>
          <w:sz w:val="21"/>
        </w:rPr>
        <w:t>Sincerely,</w:t>
        <w:br/>
        <w:t>Jordan L. Feldman, MD</w:t>
        <w:br/>
        <w:t>Medical Oncology</w:t>
      </w:r>
    </w:p>
    <w:p>
      <w:r>
        <w:br w:type="page"/>
      </w:r>
    </w:p>
    <w:p>
      <w:pPr>
        <w:pBdr>
          <w:bottom w:val="single" w:sz="6" w:space="1" w:color="auto"/>
        </w:pBdr>
      </w:pPr>
      <w:r>
        <w:rPr>
          <w:b/>
          <w:sz w:val="26"/>
        </w:rPr>
        <w:t>CLINICAL SNAPSHOT (Problem-Oriented)</w:t>
      </w:r>
    </w:p>
    <w:tbl>
      <w:tblPr>
        <w:tblStyle w:val="TableGrid"/>
        <w:tblW w:type="auto" w:w="0"/>
        <w:tblLook w:firstColumn="1" w:firstRow="1" w:lastColumn="0" w:lastRow="0" w:noHBand="0" w:noVBand="1" w:val="04A0"/>
      </w:tblPr>
      <w:tblGrid>
        <w:gridCol w:w="5040"/>
        <w:gridCol w:w="5040"/>
      </w:tblGrid>
      <w:tr>
        <w:tc>
          <w:tcPr>
            <w:tcW w:type="dxa" w:w="5040"/>
          </w:tcPr>
          <w:p>
            <w:r>
              <w:t>Working Diagnosis</w:t>
            </w:r>
          </w:p>
        </w:tc>
        <w:tc>
          <w:tcPr>
            <w:tcW w:type="dxa" w:w="5040"/>
          </w:tcPr>
          <w:p>
            <w:r>
              <w:t>High-risk adenocarcinoma; primary suspected GI; final site pending molecular correlation.</w:t>
            </w:r>
          </w:p>
        </w:tc>
      </w:tr>
      <w:tr>
        <w:tc>
          <w:tcPr>
            <w:tcW w:type="dxa" w:w="5040"/>
          </w:tcPr>
          <w:p>
            <w:r>
              <w:t>Stage (provisional)</w:t>
            </w:r>
          </w:p>
        </w:tc>
        <w:tc>
          <w:tcPr>
            <w:tcW w:type="dxa" w:w="5040"/>
          </w:tcPr>
          <w:p>
            <w:r>
              <w:t>cT3N1M0 based on CT; PET-CT pending for definitive staging.</w:t>
            </w:r>
          </w:p>
        </w:tc>
      </w:tr>
      <w:tr>
        <w:tc>
          <w:tcPr>
            <w:tcW w:type="dxa" w:w="5040"/>
          </w:tcPr>
          <w:p>
            <w:r>
              <w:t>Key Symptoms</w:t>
            </w:r>
          </w:p>
        </w:tc>
        <w:tc>
          <w:tcPr>
            <w:tcW w:type="dxa" w:w="5040"/>
          </w:tcPr>
          <w:p>
            <w:r>
              <w:t>Fatigue, early satiety, 12 lb weight loss, intermittent pain; no overt GI bleeding.</w:t>
            </w:r>
          </w:p>
        </w:tc>
      </w:tr>
      <w:tr>
        <w:tc>
          <w:tcPr>
            <w:tcW w:type="dxa" w:w="5040"/>
          </w:tcPr>
          <w:p>
            <w:r>
              <w:t>Performance Status</w:t>
            </w:r>
          </w:p>
        </w:tc>
        <w:tc>
          <w:tcPr>
            <w:tcW w:type="dxa" w:w="5040"/>
          </w:tcPr>
          <w:p>
            <w:r>
              <w:t>ECOG 1. Independent ADLs.</w:t>
            </w:r>
          </w:p>
        </w:tc>
      </w:tr>
      <w:tr>
        <w:tc>
          <w:tcPr>
            <w:tcW w:type="dxa" w:w="5040"/>
          </w:tcPr>
          <w:p>
            <w:r>
              <w:t>Pertinent PMH</w:t>
            </w:r>
          </w:p>
        </w:tc>
        <w:tc>
          <w:tcPr>
            <w:tcW w:type="dxa" w:w="5040"/>
          </w:tcPr>
          <w:p>
            <w:r>
              <w:t>HTN, T2DM, CKD2; former smoker.</w:t>
            </w:r>
          </w:p>
        </w:tc>
      </w:tr>
      <w:tr>
        <w:tc>
          <w:tcPr>
            <w:tcW w:type="dxa" w:w="5040"/>
          </w:tcPr>
          <w:p>
            <w:r>
              <w:t>Family History</w:t>
            </w:r>
          </w:p>
        </w:tc>
        <w:tc>
          <w:tcPr>
            <w:tcW w:type="dxa" w:w="5040"/>
          </w:tcPr>
          <w:p>
            <w:r>
              <w:t>First-degree relative with colon cancer at 62; genetics review recommended.</w:t>
            </w:r>
          </w:p>
        </w:tc>
      </w:tr>
    </w:tbl>
    <w:p>
      <w:pPr>
        <w:spacing w:after="120"/>
      </w:pPr>
      <w:r>
        <w:rPr>
          <w:b w:val="0"/>
          <w:i w:val="0"/>
          <w:sz w:val="21"/>
        </w:rPr>
        <w:t>Patient presents for tertiary oncology second opinion regarding newly diagnosed malignancy with staging already initiated outside pathology demonstrates. Invasive carcinoma with immunohistochemistry supporting primary origin and actionable markers pending recent cross sectional imaging shows dominant mass. With regional nodal disease and no definitive distant metastasis on current studies symptoms include fatigue early satiety weight. Loss and intermittent pain controlled with non opioid analgesics and bowel regimen medical history includes hypertension type 2. Diabetes chronic kidney disease stage 2 and prior tobacco exposure now ceased performance status is ecog 1 with. Independent activities of daily living and intact cognition per caregiver report medications were reconciled with the patient and. Pharmacy fill history and updated to reflect current adherence barriers allergies were reviewed including reaction type timing and. Alternatives already tolerated without incident staging plan includes pet ct for metabolic assessment mri as indicated for local. Extension and baseline tumor markers treatment.</w:t>
      </w:r>
    </w:p>
    <w:p>
      <w:r>
        <w:br w:type="page"/>
      </w:r>
    </w:p>
    <w:p>
      <w:pPr>
        <w:pBdr>
          <w:bottom w:val="single" w:sz="6" w:space="1" w:color="auto"/>
        </w:pBdr>
      </w:pPr>
      <w:r>
        <w:rPr>
          <w:b/>
          <w:sz w:val="26"/>
        </w:rPr>
        <w:t>PATHOLOGY AND BIOMARKERS</w:t>
      </w:r>
    </w:p>
    <w:p>
      <w:pPr>
        <w:spacing w:after="120"/>
      </w:pPr>
      <w:r>
        <w:rPr>
          <w:b/>
          <w:i w:val="0"/>
          <w:sz w:val="21"/>
        </w:rPr>
        <w:t>Outside Pathology (synthetic excerpt):</w:t>
      </w:r>
    </w:p>
    <w:p>
      <w:pPr>
        <w:spacing w:after="120"/>
      </w:pPr>
      <w:r>
        <w:rPr>
          <w:b w:val="0"/>
          <w:i w:val="0"/>
          <w:sz w:val="21"/>
        </w:rPr>
        <w:t>Specimen: Core biopsy. Diagnosis: Invasive adenocarcinoma, moderately differentiated. LVI: present. PNI: not identified.</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Marker</w:t>
            </w:r>
          </w:p>
        </w:tc>
        <w:tc>
          <w:tcPr>
            <w:tcW w:type="dxa" w:w="3360"/>
          </w:tcPr>
          <w:p>
            <w:r>
              <w:t>Result</w:t>
            </w:r>
          </w:p>
        </w:tc>
        <w:tc>
          <w:tcPr>
            <w:tcW w:type="dxa" w:w="3360"/>
          </w:tcPr>
          <w:p>
            <w:r>
              <w:t>Interpretation</w:t>
            </w:r>
          </w:p>
        </w:tc>
      </w:tr>
      <w:tr>
        <w:tc>
          <w:tcPr>
            <w:tcW w:type="dxa" w:w="3360"/>
          </w:tcPr>
          <w:p>
            <w:r>
              <w:t>CK7</w:t>
            </w:r>
          </w:p>
        </w:tc>
        <w:tc>
          <w:tcPr>
            <w:tcW w:type="dxa" w:w="3360"/>
          </w:tcPr>
          <w:p>
            <w:r>
              <w:t>Positive</w:t>
            </w:r>
          </w:p>
        </w:tc>
        <w:tc>
          <w:tcPr>
            <w:tcW w:type="dxa" w:w="3360"/>
          </w:tcPr>
          <w:p>
            <w:r>
              <w:t>Upper GI/pancreatobiliary pattern</w:t>
            </w:r>
          </w:p>
        </w:tc>
      </w:tr>
      <w:tr>
        <w:tc>
          <w:tcPr>
            <w:tcW w:type="dxa" w:w="3360"/>
          </w:tcPr>
          <w:p>
            <w:r>
              <w:t>CK20</w:t>
            </w:r>
          </w:p>
        </w:tc>
        <w:tc>
          <w:tcPr>
            <w:tcW w:type="dxa" w:w="3360"/>
          </w:tcPr>
          <w:p>
            <w:r>
              <w:t>Patchy</w:t>
            </w:r>
          </w:p>
        </w:tc>
        <w:tc>
          <w:tcPr>
            <w:tcW w:type="dxa" w:w="3360"/>
          </w:tcPr>
          <w:p>
            <w:r>
              <w:t>Non-specific</w:t>
            </w:r>
          </w:p>
        </w:tc>
      </w:tr>
      <w:tr>
        <w:tc>
          <w:tcPr>
            <w:tcW w:type="dxa" w:w="3360"/>
          </w:tcPr>
          <w:p>
            <w:r>
              <w:t>CDX2</w:t>
            </w:r>
          </w:p>
        </w:tc>
        <w:tc>
          <w:tcPr>
            <w:tcW w:type="dxa" w:w="3360"/>
          </w:tcPr>
          <w:p>
            <w:r>
              <w:t>Positive</w:t>
            </w:r>
          </w:p>
        </w:tc>
        <w:tc>
          <w:tcPr>
            <w:tcW w:type="dxa" w:w="3360"/>
          </w:tcPr>
          <w:p>
            <w:r>
              <w:t>Intestinal differentiation</w:t>
            </w:r>
          </w:p>
        </w:tc>
      </w:tr>
      <w:tr>
        <w:tc>
          <w:tcPr>
            <w:tcW w:type="dxa" w:w="3360"/>
          </w:tcPr>
          <w:p>
            <w:r>
              <w:t>HER2</w:t>
            </w:r>
          </w:p>
        </w:tc>
        <w:tc>
          <w:tcPr>
            <w:tcW w:type="dxa" w:w="3360"/>
          </w:tcPr>
          <w:p>
            <w:r>
              <w:t>0-1+</w:t>
            </w:r>
          </w:p>
        </w:tc>
        <w:tc>
          <w:tcPr>
            <w:tcW w:type="dxa" w:w="3360"/>
          </w:tcPr>
          <w:p>
            <w:r>
              <w:t>Not overexpressed</w:t>
            </w:r>
          </w:p>
        </w:tc>
      </w:tr>
      <w:tr>
        <w:tc>
          <w:tcPr>
            <w:tcW w:type="dxa" w:w="3360"/>
          </w:tcPr>
          <w:p>
            <w:r>
              <w:t>PD-L1 (CPS)</w:t>
            </w:r>
          </w:p>
        </w:tc>
        <w:tc>
          <w:tcPr>
            <w:tcW w:type="dxa" w:w="3360"/>
          </w:tcPr>
          <w:p>
            <w:r>
              <w:t>10</w:t>
            </w:r>
          </w:p>
        </w:tc>
        <w:tc>
          <w:tcPr>
            <w:tcW w:type="dxa" w:w="3360"/>
          </w:tcPr>
          <w:p>
            <w:r>
              <w:t>Potential IO relevance</w:t>
            </w:r>
          </w:p>
        </w:tc>
      </w:tr>
      <w:tr>
        <w:tc>
          <w:tcPr>
            <w:tcW w:type="dxa" w:w="3360"/>
          </w:tcPr>
          <w:p>
            <w:r>
              <w:t>MMR proteins</w:t>
            </w:r>
          </w:p>
        </w:tc>
        <w:tc>
          <w:tcPr>
            <w:tcW w:type="dxa" w:w="3360"/>
          </w:tcPr>
          <w:p>
            <w:r>
              <w:t>Intact</w:t>
            </w:r>
          </w:p>
        </w:tc>
        <w:tc>
          <w:tcPr>
            <w:tcW w:type="dxa" w:w="3360"/>
          </w:tcPr>
          <w:p>
            <w:r>
              <w:t>MSI-H unlikely</w:t>
            </w:r>
          </w:p>
        </w:tc>
      </w:tr>
    </w:tbl>
    <w:p>
      <w:pPr>
        <w:spacing w:after="120"/>
      </w:pPr>
      <w:r>
        <w:rPr>
          <w:b w:val="0"/>
          <w:i w:val="0"/>
          <w:sz w:val="21"/>
        </w:rPr>
        <w:t>Pending/Recommended: NGS panel (KRAS/NRAS/BRAF), TMB; germline testing if indicated.</w:t>
      </w:r>
    </w:p>
    <w:p>
      <w:pPr>
        <w:spacing w:after="120"/>
      </w:pPr>
      <w:r>
        <w:rPr>
          <w:b w:val="0"/>
          <w:i w:val="0"/>
          <w:sz w:val="21"/>
        </w:rPr>
        <w:t>Patient presents for tertiary oncology second opinion regarding newly diagnosed malignancy with staging already initiated outside pathology demonstrates. Invasive carcinoma with immunohistochemistry supporting primary origin and actionable markers pending recent cross sectional imaging shows dominant mass. With regional nodal disease and no definitive distant metastasis on current studies symptoms include fatigue early satiety weight. Loss and intermittent pain controlled with non opioid analgesics and bowel regimen medical history includes hypertension type 2. Diabetes chronic kidney disease stage 2 and prior tobacco exposure now ceased performance status is ecog 1 with. Independent activities of daily living and intact cognition per caregiver report medications were reconciled with the patient and. Pharmacy fill history and updated to reflect current adherence barriers allergies were reviewed including reaction type timing and. Alternatives already tolerated without incident staging plan includes pet ct for metabolic assessment mri as indicated for local. Extension and baseline tumor markers treatment.</w:t>
      </w:r>
    </w:p>
    <w:p>
      <w:r>
        <w:br w:type="page"/>
      </w:r>
    </w:p>
    <w:p>
      <w:pPr>
        <w:pBdr>
          <w:bottom w:val="single" w:sz="6" w:space="1" w:color="auto"/>
        </w:pBdr>
      </w:pPr>
      <w:r>
        <w:rPr>
          <w:b/>
          <w:sz w:val="26"/>
        </w:rPr>
        <w:t>IMAGING SUMMARY (Most Recent)</w:t>
      </w:r>
    </w:p>
    <w:tbl>
      <w:tblPr>
        <w:tblStyle w:val="TableGrid"/>
        <w:tblW w:type="auto" w:w="0"/>
        <w:tblLook w:firstColumn="1" w:firstRow="1" w:lastColumn="0" w:lastRow="0" w:noHBand="0" w:noVBand="1" w:val="04A0"/>
      </w:tblPr>
      <w:tblGrid>
        <w:gridCol w:w="5040"/>
        <w:gridCol w:w="5040"/>
      </w:tblGrid>
      <w:tr>
        <w:tc>
          <w:tcPr>
            <w:tcW w:type="dxa" w:w="5040"/>
          </w:tcPr>
          <w:p>
            <w:r>
              <w:t>CT Chest/Abd/Pelvis (01/09/2026)</w:t>
            </w:r>
          </w:p>
        </w:tc>
        <w:tc>
          <w:tcPr>
            <w:tcW w:type="dxa" w:w="5040"/>
          </w:tcPr>
          <w:p>
            <w:r>
              <w:t>4.2 cm mass, regional nodes; no definitive lung mets; indeterminate 6 mm hepatic lesion.</w:t>
            </w:r>
          </w:p>
        </w:tc>
      </w:tr>
      <w:tr>
        <w:tc>
          <w:tcPr>
            <w:tcW w:type="dxa" w:w="5040"/>
          </w:tcPr>
          <w:p>
            <w:r>
              <w:t>MRI Liver (01/11/2026)</w:t>
            </w:r>
          </w:p>
        </w:tc>
        <w:tc>
          <w:tcPr>
            <w:tcW w:type="dxa" w:w="5040"/>
          </w:tcPr>
          <w:p>
            <w:r>
              <w:t>Lesion favored hemangioma; recommend interval imaging in 3 months.</w:t>
            </w:r>
          </w:p>
        </w:tc>
      </w:tr>
      <w:tr>
        <w:tc>
          <w:tcPr>
            <w:tcW w:type="dxa" w:w="5040"/>
          </w:tcPr>
          <w:p>
            <w:r>
              <w:t>Endoscopy (01/05/2026)</w:t>
            </w:r>
          </w:p>
        </w:tc>
        <w:tc>
          <w:tcPr>
            <w:tcW w:type="dxa" w:w="5040"/>
          </w:tcPr>
          <w:p>
            <w:r>
              <w:t>Ulcerated lesion biopsied; no active bleeding.</w:t>
            </w:r>
          </w:p>
        </w:tc>
      </w:tr>
      <w:tr>
        <w:tc>
          <w:tcPr>
            <w:tcW w:type="dxa" w:w="5040"/>
          </w:tcPr>
          <w:p>
            <w:r>
              <w:t>Planned: PET-CT</w:t>
            </w:r>
          </w:p>
        </w:tc>
        <w:tc>
          <w:tcPr>
            <w:tcW w:type="dxa" w:w="5040"/>
          </w:tcPr>
          <w:p>
            <w:r>
              <w:t>For occult metastatic disease and planning.</w:t>
            </w:r>
          </w:p>
        </w:tc>
      </w:tr>
      <w:tr>
        <w:tc>
          <w:tcPr>
            <w:tcW w:type="dxa" w:w="5040"/>
          </w:tcPr>
          <w:p/>
        </w:tc>
        <w:tc>
          <w:tcPr>
            <w:tcW w:type="dxa" w:w="5040"/>
          </w:tcPr>
          <w:p/>
        </w:tc>
      </w:tr>
    </w:tbl>
    <w:p>
      <w:pPr>
        <w:spacing w:after="120"/>
      </w:pPr>
      <w:r>
        <w:rPr>
          <w:b w:val="0"/>
          <w:i w:val="0"/>
          <w:sz w:val="21"/>
        </w:rPr>
        <w:t>Patient presents for tertiary oncology second opinion regarding newly diagnosed malignancy with staging already initiated outside pathology demonstrates. Invasive carcinoma with immunohistochemistry supporting primary origin and actionable markers pending recent cross sectional imaging shows dominant mass. With regional nodal disease and no definitive distant metastasis on current studies symptoms include fatigue early satiety weight. Loss and intermittent pain controlled with non opioid analgesics and bowel regimen medical history includes hypertension type 2. Diabetes chronic kidney disease stage 2 and prior tobacco exposure now ceased performance status is ecog 1 with. Independent activities of daily living and intact cognition per caregiver report medications were reconciled with the patient and. Pharmacy fill history and updated to reflect current adherence barriers allergies were reviewed including reaction type timing and. Alternatives already tolerated without incident staging plan includes pet ct for metabolic assessment mri.</w:t>
      </w:r>
    </w:p>
    <w:p>
      <w:r>
        <w:br w:type="page"/>
      </w:r>
    </w:p>
    <w:p>
      <w:pPr>
        <w:pBdr>
          <w:bottom w:val="single" w:sz="6" w:space="1" w:color="auto"/>
        </w:pBdr>
      </w:pPr>
      <w:r>
        <w:rPr>
          <w:b/>
          <w:sz w:val="26"/>
        </w:rPr>
        <w:t>QUICK EXTRACTION - MEDICATIONS, ALLERGIES, RECENT RESULTS</w:t>
      </w:r>
    </w:p>
    <w:tbl>
      <w:tblPr>
        <w:tblStyle w:val="TableGrid"/>
        <w:tblW w:type="auto" w:w="0"/>
        <w:tblLook w:firstColumn="1" w:firstRow="1" w:lastColumn="0" w:lastRow="0" w:noHBand="0" w:noVBand="1" w:val="04A0"/>
      </w:tblPr>
      <w:tblGrid>
        <w:gridCol w:w="5040"/>
        <w:gridCol w:w="5040"/>
      </w:tblGrid>
      <w:tr>
        <w:tc>
          <w:tcPr>
            <w:tcW w:type="dxa" w:w="5040"/>
          </w:tcPr>
          <w:p/>
          <w:p>
            <w:r>
              <w:rPr>
                <w:b/>
              </w:rPr>
              <w:t>Current Medications (verified 01/14/2026)</w:t>
            </w:r>
          </w:p>
          <w:p>
            <w:r>
              <w:t>- Lisinopril 20 mg PO daily</w:t>
            </w:r>
          </w:p>
          <w:p>
            <w:r>
              <w:t>- Metformin ER 1000 mg PO BID</w:t>
            </w:r>
          </w:p>
          <w:p>
            <w:r>
              <w:t>- Atorvastatin 40 mg PO nightly</w:t>
            </w:r>
          </w:p>
          <w:p>
            <w:r>
              <w:t>- Omeprazole 20 mg PO daily</w:t>
            </w:r>
          </w:p>
          <w:p>
            <w:r>
              <w:t>- Ondansetron ODT 4 mg q8h PRN nausea</w:t>
            </w:r>
          </w:p>
          <w:p>
            <w:r>
              <w:t>- Acetaminophen 650 mg q6h PRN pain</w:t>
            </w:r>
          </w:p>
          <w:p>
            <w:r>
              <w:t>- Senna 8.6 mg 2 tabs nightly PRN constipation</w:t>
            </w:r>
          </w:p>
          <w:p>
            <w:r>
              <w:rPr>
                <w:b/>
              </w:rPr>
              <w:br/>
              <w:t>Drug Allergies</w:t>
            </w:r>
          </w:p>
          <w:p>
            <w:r>
              <w:t>- Penicillin - urticaria as child (tolerated cefazolin previously)</w:t>
            </w:r>
          </w:p>
          <w:p>
            <w:r>
              <w:t>- Codeine - severe nausea/vomiting</w:t>
            </w:r>
          </w:p>
          <w:p>
            <w:r>
              <w:t>- Iodinated contrast - rash (premed protocol)</w:t>
            </w:r>
          </w:p>
        </w:tc>
        <w:tc>
          <w:tcPr>
            <w:tcW w:type="dxa" w:w="5040"/>
          </w:tcPr>
          <w:p/>
          <w:p>
            <w:r>
              <w:rPr>
                <w:b/>
              </w:rPr>
              <w:t>Most Recent Results Snapshot</w:t>
            </w:r>
          </w:p>
          <w:p>
            <w:r>
              <w:t>CEA: 8.1 ng/mL (01/10/2026).</w:t>
            </w:r>
          </w:p>
        </w:tc>
      </w:tr>
    </w:tbl>
    <w:tbl>
      <w:tblPr>
        <w:tblStyle w:val="LightList-Accent2"/>
        <w:tblW w:type="auto" w:w="0"/>
        <w:tblLook w:firstColumn="1" w:firstRow="1" w:lastColumn="0" w:lastRow="0" w:noHBand="0" w:noVBand="1" w:val="04A0"/>
      </w:tblPr>
      <w:tblGrid>
        <w:gridCol w:w="2520"/>
        <w:gridCol w:w="2520"/>
        <w:gridCol w:w="2520"/>
        <w:gridCol w:w="2520"/>
      </w:tblGrid>
      <w:tr>
        <w:tc>
          <w:tcPr>
            <w:tcW w:type="dxa" w:w="2520"/>
          </w:tcPr>
          <w:p>
            <w:r>
              <w:t>Test</w:t>
            </w:r>
          </w:p>
        </w:tc>
        <w:tc>
          <w:tcPr>
            <w:tcW w:type="dxa" w:w="2520"/>
          </w:tcPr>
          <w:p>
            <w:r>
              <w:t>Value</w:t>
            </w:r>
          </w:p>
        </w:tc>
        <w:tc>
          <w:tcPr>
            <w:tcW w:type="dxa" w:w="2520"/>
          </w:tcPr>
          <w:p>
            <w:r>
              <w:t>Units</w:t>
            </w:r>
          </w:p>
        </w:tc>
        <w:tc>
          <w:tcPr>
            <w:tcW w:type="dxa" w:w="2520"/>
          </w:tcPr>
          <w:p>
            <w:r>
              <w:t>Date</w:t>
            </w:r>
          </w:p>
        </w:tc>
      </w:tr>
      <w:tr>
        <w:tc>
          <w:tcPr>
            <w:tcW w:type="dxa" w:w="2520"/>
          </w:tcPr>
          <w:p>
            <w:r>
              <w:t>Hgb</w:t>
            </w:r>
          </w:p>
        </w:tc>
        <w:tc>
          <w:tcPr>
            <w:tcW w:type="dxa" w:w="2520"/>
          </w:tcPr>
          <w:p>
            <w:r>
              <w:t>10.8</w:t>
            </w:r>
          </w:p>
        </w:tc>
        <w:tc>
          <w:tcPr>
            <w:tcW w:type="dxa" w:w="2520"/>
          </w:tcPr>
          <w:p>
            <w:r>
              <w:t>g/dL</w:t>
            </w:r>
          </w:p>
        </w:tc>
        <w:tc>
          <w:tcPr>
            <w:tcW w:type="dxa" w:w="2520"/>
          </w:tcPr>
          <w:p>
            <w:r>
              <w:t>01/14/2026</w:t>
            </w:r>
          </w:p>
        </w:tc>
      </w:tr>
      <w:tr>
        <w:tc>
          <w:tcPr>
            <w:tcW w:type="dxa" w:w="2520"/>
          </w:tcPr>
          <w:p>
            <w:r>
              <w:t>WBC</w:t>
            </w:r>
          </w:p>
        </w:tc>
        <w:tc>
          <w:tcPr>
            <w:tcW w:type="dxa" w:w="2520"/>
          </w:tcPr>
          <w:p>
            <w:r>
              <w:t>7.2</w:t>
            </w:r>
          </w:p>
        </w:tc>
        <w:tc>
          <w:tcPr>
            <w:tcW w:type="dxa" w:w="2520"/>
          </w:tcPr>
          <w:p>
            <w:r>
              <w:t>K/uL</w:t>
            </w:r>
          </w:p>
        </w:tc>
        <w:tc>
          <w:tcPr>
            <w:tcW w:type="dxa" w:w="2520"/>
          </w:tcPr>
          <w:p>
            <w:r>
              <w:t>01/14/2026</w:t>
            </w:r>
          </w:p>
        </w:tc>
      </w:tr>
      <w:tr>
        <w:tc>
          <w:tcPr>
            <w:tcW w:type="dxa" w:w="2520"/>
          </w:tcPr>
          <w:p>
            <w:r>
              <w:t>Plt</w:t>
            </w:r>
          </w:p>
        </w:tc>
        <w:tc>
          <w:tcPr>
            <w:tcW w:type="dxa" w:w="2520"/>
          </w:tcPr>
          <w:p>
            <w:r>
              <w:t>312</w:t>
            </w:r>
          </w:p>
        </w:tc>
        <w:tc>
          <w:tcPr>
            <w:tcW w:type="dxa" w:w="2520"/>
          </w:tcPr>
          <w:p>
            <w:r>
              <w:t>K/uL</w:t>
            </w:r>
          </w:p>
        </w:tc>
        <w:tc>
          <w:tcPr>
            <w:tcW w:type="dxa" w:w="2520"/>
          </w:tcPr>
          <w:p>
            <w:r>
              <w:t>01/14/2026</w:t>
            </w:r>
          </w:p>
        </w:tc>
      </w:tr>
      <w:tr>
        <w:tc>
          <w:tcPr>
            <w:tcW w:type="dxa" w:w="2520"/>
          </w:tcPr>
          <w:p>
            <w:r>
              <w:t>Cr</w:t>
            </w:r>
          </w:p>
        </w:tc>
        <w:tc>
          <w:tcPr>
            <w:tcW w:type="dxa" w:w="2520"/>
          </w:tcPr>
          <w:p>
            <w:r>
              <w:t>1.08</w:t>
            </w:r>
          </w:p>
        </w:tc>
        <w:tc>
          <w:tcPr>
            <w:tcW w:type="dxa" w:w="2520"/>
          </w:tcPr>
          <w:p>
            <w:r>
              <w:t>mg/dL</w:t>
            </w:r>
          </w:p>
        </w:tc>
        <w:tc>
          <w:tcPr>
            <w:tcW w:type="dxa" w:w="2520"/>
          </w:tcPr>
          <w:p>
            <w:r>
              <w:t>01/14/2026</w:t>
            </w:r>
          </w:p>
        </w:tc>
      </w:tr>
      <w:tr>
        <w:tc>
          <w:tcPr>
            <w:tcW w:type="dxa" w:w="2520"/>
          </w:tcPr>
          <w:p>
            <w:r>
              <w:t>AST/ALT</w:t>
            </w:r>
          </w:p>
        </w:tc>
        <w:tc>
          <w:tcPr>
            <w:tcW w:type="dxa" w:w="2520"/>
          </w:tcPr>
          <w:p>
            <w:r>
              <w:t>38/41</w:t>
            </w:r>
          </w:p>
        </w:tc>
        <w:tc>
          <w:tcPr>
            <w:tcW w:type="dxa" w:w="2520"/>
          </w:tcPr>
          <w:p>
            <w:r>
              <w:t>U/L</w:t>
            </w:r>
          </w:p>
        </w:tc>
        <w:tc>
          <w:tcPr>
            <w:tcW w:type="dxa" w:w="2520"/>
          </w:tcPr>
          <w:p>
            <w:r>
              <w:t>01/14/2026</w:t>
            </w:r>
          </w:p>
        </w:tc>
      </w:tr>
    </w:tbl>
    <w:p>
      <w:r>
        <w:br w:type="page"/>
      </w:r>
    </w:p>
    <w:p>
      <w:pPr>
        <w:pBdr>
          <w:bottom w:val="single" w:sz="6" w:space="1" w:color="auto"/>
        </w:pBdr>
      </w:pPr>
      <w:r>
        <w:rPr>
          <w:b/>
          <w:sz w:val="26"/>
        </w:rPr>
        <w:t>ASSESSMENT AND RECOMMENDATIONS</w:t>
      </w:r>
    </w:p>
    <w:p>
      <w:r>
        <w:t>• Complete PET-CT prior to final stage assignment; repeat liver imaging if PET suggests hypermetabolism.</w:t>
      </w:r>
    </w:p>
    <w:p>
      <w:r>
        <w:t>• Obtain NGS panel and confirm PD-L1; screen for trials if actionable alterations.</w:t>
      </w:r>
    </w:p>
    <w:p>
      <w:r>
        <w:t>• Tumor board review to select sequencing of therapy.</w:t>
      </w:r>
    </w:p>
    <w:p>
      <w:r>
        <w:t>• Optimize symptoms now (antiemetics, bowel regimen, pain plan).</w:t>
      </w:r>
    </w:p>
    <w:p>
      <w:r>
        <w:t>• Document goals of care and surrogate decision maker.</w:t>
      </w:r>
    </w:p>
    <w:p>
      <w:pPr>
        <w:spacing w:after="120"/>
      </w:pPr>
      <w:r>
        <w:rPr>
          <w:b w:val="0"/>
          <w:i w:val="0"/>
          <w:sz w:val="21"/>
        </w:rPr>
        <w:t>Patient presents for tertiary oncology second opinion regarding newly diagnosed malignancy with staging already initiated outside pathology demonstrates. Invasive carcinoma with immunohistochemistry supporting primary origin and actionable markers pending recent cross sectional imaging shows dominant mass. With regional nodal disease and no definitive distant metastasis on current studies symptoms include fatigue early satiety weight. Loss and intermittent pain controlled with non opioid analgesics and bowel regimen medical history includes hypertension type 2. Diabetes chronic kidney disease stage 2 and prior tobacco exposure now ceased performance status is ecog 1 with. Independent activities of daily living and intact cognition per caregiver report medications were reconciled with the patient and. Pharmacy fill history and updated to reflect current adherence barriers allergies were reviewed including reaction type timing and. Alternatives already tolerated without incident staging plan includes pet ct for metabolic assessment mri as indicated for local. Extension and baseline tumor markers treatment options reviewed include surgery systemic therapy radiation and clinical trial eligibility based. On biomarker results fertility nutrition and psychosocial needs were assessed with referrals to supportive oncology and social work. Risks and benefits were discussed using shared decision making with written materials provided and follow up arranged patient. Presents for tertiary oncology second opinion regarding newly diagnosed malignancy with staging already initiated outside pathology demonstrates invasive. Carcinoma with immunohistochemistry supporting.</w:t>
      </w:r>
    </w:p>
    <w:p>
      <w:pPr>
        <w:spacing w:after="0"/>
      </w:pPr>
      <w:r>
        <w:rPr>
          <w:b w:val="0"/>
          <w:i w:val="0"/>
          <w:sz w:val="21"/>
        </w:rPr>
        <w:t>Follow-up: Return in 7 days after PET-CT and molecular testing; sooner for fever, bleeding, uncontrolled pain, or persistent emesis.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