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Associate I, Southern California (Dermatology) position at AbbVie.</w:t>
      </w:r>
    </w:p>
    <w:p>
      <w:r>
        <w:t>Before PA school I worked as a Clinical Research Associate, and I earned the CCRA credential in 2023. I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lapsed, and I plan to recertify.</w:t>
      </w:r>
    </w:p>
    <w:p>
      <w:r>
        <w:t>AbbVie's dermatology CRA I role combines monitoring with a therapeutic area where I have clinical training from my dermatology rotation.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