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Senior CRA II (remote) position at Actalent.</w:t>
      </w:r>
    </w:p>
    <w:p>
      <w:r>
        <w:t>Before PA school I worked as a Clinical Research Associate, and I earned the CCRA credential in 2023. I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lapsed, and I plan to recertify.</w:t>
      </w:r>
    </w:p>
    <w:p>
      <w:r>
        <w:t>Actalent's remote CRA role would let me return to clinical research with a clinician's perspective.</w:t>
      </w:r>
    </w:p>
    <w:p>
      <w:r>
        <w:t>This is a senior role, and I do not have direct monitoring experience to offer; I am applying to learn whether my clinical and research background could qualify.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