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(via Medix) position at Medix.</w:t>
      </w:r>
    </w:p>
    <w:p>
      <w:r>
        <w:t>Before PA school I worked as a Clinical Research Associate, and I earned the CCRA credential in 2023. I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</w:t>
      </w:r>
    </w:p>
    <w:p>
      <w:r>
        <w:t>Managing protocol-driven visits and end-to-end trial operations with principal investigators, sponsors and CROs is work I understand from the CRA side.</w:t>
      </w:r>
    </w:p>
    <w:p>
      <w:r>
        <w:t>I hold an MSPAS from Des Moines University (August 2025) and a BS in neuroscience from Indiana University.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