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Coordinator (part-time, 20–30 hrs/week) position at Redbock, an NES Fircroft company.</w:t>
      </w:r>
    </w:p>
    <w:p>
      <w:r>
        <w:t>Before PA school I worked as a Clinical Research Associate, and I earned the CCRA credential in 2023. I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</w:t>
      </w:r>
    </w:p>
    <w:p>
      <w:r>
        <w:t>A part-time coordinator role handling study visits, source documents and EDC data entry would let me keep clinical research skills sharp while I complete licensure.</w:t>
      </w:r>
    </w:p>
    <w:p>
      <w:r>
        <w:t>I hold an MSPAS from Des Moines University (August 2025) and a BS in neuroscience from Indiana University. I am planning to relocate to Northern California.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