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ACLS/BLS/ATLS/PALS certified. Seeking the NPs and PAs, multiple specialties (recruiter posting) position at Jordan Search Consultants.</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pStyle w:val="ListBullet"/>
        <w:spacing w:after="40"/>
      </w:pPr>
      <w:r>
        <w:t>Managed breast and gynecologic oncology clinical trials.</w:t>
      </w:r>
    </w:p>
    <w:p>
      <w:pPr>
        <w:pStyle w:val="ListBullet"/>
        <w:spacing w:after="40"/>
      </w:pPr>
      <w:r>
        <w:t>Kept study sponsors updated on trial progress.</w:t>
      </w:r>
    </w:p>
    <w:p>
      <w:pPr>
        <w:pStyle w:val="ListBullet"/>
        <w:spacing w:after="40"/>
      </w:pPr>
      <w:r>
        <w:t>Updated study records and confirmed record keeping.</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Pediatric Advanced Life Support (PALS)</w:t>
      </w:r>
    </w:p>
    <w:p>
      <w:pPr>
        <w:pStyle w:val="ListBullet"/>
        <w:spacing w:after="40"/>
      </w:pPr>
      <w:r>
        <w:t>Certified Clinical Research Associate (CCRA) – earned 2023; expired, recertification in process</w:t>
      </w:r>
    </w:p>
    <w:p>
      <w:pPr>
        <w:pStyle w:val="ListBullet"/>
        <w:spacing w:after="40"/>
      </w:pPr>
      <w:r>
        <w:t>Physician Assistant license – Iowa; Indiana</w:t>
      </w:r>
    </w:p>
    <w:p>
      <w:pPr>
        <w:pStyle w:val="ListBullet"/>
        <w:spacing w:after="40"/>
      </w:pPr>
      <w:r>
        <w:t>California PA license – application in progress, expected January 2027</w:t>
      </w:r>
    </w:p>
    <w:p>
      <w:pPr>
        <w:pStyle w:val="ListBullet"/>
        <w:spacing w:after="40"/>
      </w:pPr>
      <w:r>
        <w:t>Illinois PA license – application in progress</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