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Emergency Medicine Advanced Practice Clinician position at TeamHealth.</w:t>
      </w:r>
    </w:p>
    <w:p>
      <w:r>
        <w:t>In the Emergency Department I independently evaluate and manage 15–25 patients per shift with acute, undifferentiated and life-threatening presentations, including three STEMIs (with STEMI activations), three NSTEMIs, CHF exacerbations, stroke alerts, seizures and aortic aneurysm. I order and interpret labs and imaging, work alongside attending physicians, nurses, pharmacists and consultants, and hold ACLS, BLS, ATLS and PALS certification. I perform procedures independently, including sutures (ten or more), incision and drainage (six), epistaxis management (four), cast placement (three), open fracture management (two) and joint reductions.</w:t>
      </w:r>
    </w:p>
    <w:p>
      <w:r>
        <w:t>Lodi is closer to Sacramento than most Central Valley options, and TeamHealth's emergency medicine group is a strong match for my specialty.</w:t>
      </w:r>
    </w:p>
    <w:p>
      <w:r>
        <w:t>I understand some TeamHealth roles ask for around two years of emergency experience; I have about a year of full-time ED practice and would welcome a conversation about how I could fit.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