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FSP CRA II / Senior CRA I, Oncology (US West) position at Thermo Fisher Scientific.</w:t>
      </w:r>
    </w:p>
    <w:p>
      <w:r>
        <w:t>From 2022 to 2023 I worked as a Clinical Research Associate at the IU Simon Comprehensive Cancer Center, managing breast and gynecologic oncology clinical trials, keeping sponsors updated, and updating and confirming study records. I earned the CCRA credential in 2023 and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Thermo Fisher's oncology FSP role would let me combine my breast/oncology CRA experience with the oncology exposure from my MD Anderson rotation.</w:t>
      </w:r>
    </w:p>
    <w:p>
      <w:r>
        <w:t>I understand the role expects monitoring experience, and I would welcome the chance to discuss how my breast/oncology CRA work at IU Simon (2022–2023) and clinical training compare.</w:t>
      </w:r>
    </w:p>
    <w:p>
      <w:r>
        <w:t>I hold an MSPAS from Des Moines University (August 2025) and a BS in neuroscience from Indiana University.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