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(via Medix) position at Medix.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Managing protocol-driven visits and end-to-end trial operations with principal investigators, sponsors and CROs is work I understand from the CRA side.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