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FSP CRA II / Senior CRA I, Oncology (US West) position at Thermo Fisher Scientific.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Thermo Fisher's oncology FSP role would let me combine my breast/oncology CRA experience with the oncology exposure from my MD Anderson rotation.</w:t>
      </w:r>
    </w:p>
    <w:p>
      <w:r>
        <w:t>I understand the role expects monitoring experience, and I would welcome the chance to discuss how my breast/oncology CRA work at IU Simon (2022–2023) and clinical training compare.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