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 (PA) / Nurse Practitioner (NP) position at GCS Group Inc..</w:t>
      </w:r>
    </w:p>
    <w:p>
      <w:r>
        <w:t>In the Emergency Department I independently evaluate and manage 15–25 patients per shift with acute and undifferentiated complaints, and I perform procedures independently, including sutures (ten or more), incision and drainage (six), cast placement (three) and joint reductions. My family medicine, internal medicine and pediatrics rotations give me a wide base for the range of patients urgent care sees. I hold ACLS, BLS, ATLS and PALS certification.</w:t>
      </w:r>
    </w:p>
    <w:p>
      <w:r>
        <w:t>GCS Group's Carmichael role appeared in urgent care results, which is the setting I am looking for.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