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JEFNEY ONGERI, MSPAS, PA-C</w:t>
      </w:r>
    </w:p>
    <w:p>
      <w:pPr>
        <w:jc w:val="center"/>
      </w:pPr>
      <w:r>
        <w:t>jeffongeri@gmail.com  |  317-435-3165  |  NPI: 116226551  |  jeffongeri.com</w:t>
      </w:r>
    </w:p>
    <w:p>
      <w:pPr>
        <w:spacing w:before="160" w:after="40"/>
      </w:pPr>
      <w:r>
        <w:rPr>
          <w:b/>
          <w:sz w:val="22"/>
        </w:rPr>
        <w:t>PROFESSIONAL SUMMARY</w:t>
      </w:r>
    </w:p>
    <w:p>
      <w:r>
        <w:t>Board-certified Physician Assistant (PA-C) with active clinical experience in a high-volume emergency department. Broad outpatient training across family medicine, internal medicine, primary care, pediatrics, and women's health, with ED management of chronic disease exacerbations including CHF and COPD. ACLS/BLS/ATLS certified. Seeking the Annual Wellness Visit Provider position at Axis Community Health.</w:t>
      </w:r>
    </w:p>
    <w:p>
      <w:pPr>
        <w:spacing w:before="160" w:after="40"/>
      </w:pPr>
      <w:r>
        <w:rPr>
          <w:b/>
          <w:sz w:val="22"/>
        </w:rPr>
        <w:t>PROFESSIONAL EXPERIENCE</w:t>
      </w:r>
    </w:p>
    <w:p>
      <w:pPr>
        <w:spacing w:after="0"/>
      </w:pPr>
      <w:r>
        <w:rPr>
          <w:b/>
        </w:rPr>
        <w:t>Physician Assistant – PA-C</w:t>
      </w:r>
      <w:r>
        <w:t xml:space="preserve">   October 2025 – Present</w:t>
      </w:r>
    </w:p>
    <w:p>
      <w:pPr>
        <w:spacing w:after="40"/>
      </w:pPr>
      <w:r>
        <w:t>UnityPoint Health – Allen Hospital, Emergency Department  |  Waterloo, IA</w:t>
      </w:r>
    </w:p>
    <w:p>
      <w:pPr>
        <w:pStyle w:val="ListBullet"/>
        <w:spacing w:after="40"/>
      </w:pPr>
      <w:r>
        <w:t>Independently evaluate and manage 15–25 patients per shift presenting with acute, undifferentiated, and life-threatening conditions; order and interpret labs, imaging, and diagnostics under high-acuity, time-sensitive conditions.</w:t>
      </w:r>
    </w:p>
    <w:p>
      <w:pPr>
        <w:pStyle w:val="ListBullet"/>
        <w:spacing w:after="40"/>
      </w:pPr>
      <w:r>
        <w:t>Managed neurological and respiratory emergencies: syncope (×10+), seizures (×5), COPD exacerbation (×5+), ischemic stroke, and pneumothorax (×2); initiated stroke alerts, RSI considerations, and evidence-based treatment protocols.</w:t>
      </w:r>
    </w:p>
    <w:p>
      <w:pPr>
        <w:pStyle w:val="ListBullet"/>
        <w:spacing w:after="40"/>
      </w:pPr>
      <w:r>
        <w:t>Managed GI, GU, and obstetric emergencies: urinary retention (×3), obstipation (×3), intractable vomiting (×2), first trimester bleeding (×2); evaluated assault victims (×2), corneal abrasions (×2), and pediatric orthopedic presentations.</w:t>
      </w:r>
    </w:p>
    <w:p>
      <w:pPr>
        <w:pStyle w:val="ListBullet"/>
        <w:spacing w:after="40"/>
      </w:pPr>
      <w:r>
        <w:t>Managed high-acuity cardiovascular emergencies: STEMI (×3), NSTEMI (×3), CHF exacerbation (×5+), and aortic aneurysm including AAA (×2); initiated STEMI activations and coordinated with cardiology and surgery for rapid intervention.</w:t>
      </w:r>
    </w:p>
    <w:p>
      <w:pPr>
        <w:pStyle w:val="ListBullet"/>
        <w:spacing w:after="40"/>
      </w:pPr>
      <w:r>
        <w:t>Collaborated with attending physicians, nursing staff, pharmacists, and subspecialty consultants to deliver safe, efficient, patient-centered emergency care consistent with ACLS/BLS protocols.</w:t>
      </w:r>
    </w:p>
    <w:p>
      <w:pPr>
        <w:pStyle w:val="ListBullet"/>
        <w:spacing w:after="40"/>
      </w:pPr>
      <w:r>
        <w:t>Independently performed procedures: sutures (×10+), incision &amp; drainage (×6), epistaxis management (×4), fiberglass cast placement (×3), open fracture management (×2), nursemaid's elbow reduction (×1), anterior shoulder reduction (×1), digital disimpaction with enema (×1).</w:t>
      </w:r>
    </w:p>
    <w:p>
      <w:pPr>
        <w:spacing w:after="0"/>
      </w:pPr>
      <w:r>
        <w:rPr>
          <w:b/>
        </w:rPr>
        <w:t>Clinical Research Associate – Breast/Oncology</w:t>
      </w:r>
      <w:r>
        <w:t xml:space="preserve">   2022 – 2023</w:t>
      </w:r>
    </w:p>
    <w:p>
      <w:pPr>
        <w:spacing w:after="40"/>
      </w:pPr>
      <w:r>
        <w:t>IU Simon Comprehensive Cancer Center</w:t>
      </w:r>
    </w:p>
    <w:p>
      <w:pPr>
        <w:spacing w:before="160" w:after="40"/>
      </w:pPr>
      <w:r>
        <w:rPr>
          <w:b/>
          <w:sz w:val="22"/>
        </w:rPr>
        <w:t>EDUCATION</w:t>
      </w:r>
    </w:p>
    <w:p>
      <w:pPr>
        <w:spacing w:after="0"/>
      </w:pPr>
      <w:r>
        <w:rPr>
          <w:b/>
        </w:rPr>
        <w:t>Master of Science in Physician Assistant Studies (MSPAS)</w:t>
      </w:r>
      <w:r>
        <w:t xml:space="preserve">   August 2025</w:t>
      </w:r>
    </w:p>
    <w:p>
      <w:pPr>
        <w:spacing w:after="40"/>
      </w:pPr>
      <w:r>
        <w:t>Des Moines University – College of Health Sciences  |  West Des Moines, IA</w:t>
      </w:r>
    </w:p>
    <w:p>
      <w:pPr>
        <w:spacing w:after="0"/>
      </w:pPr>
      <w:r>
        <w:rPr>
          <w:b/>
        </w:rPr>
        <w:t>Bachelor of Science – Neuroscience, Minor: Psychology</w:t>
      </w:r>
      <w:r>
        <w:t xml:space="preserve">   May 2021</w:t>
      </w:r>
    </w:p>
    <w:p>
      <w:pPr>
        <w:spacing w:after="40"/>
      </w:pPr>
      <w:r>
        <w:t>Indiana University – College of Arts &amp; Sciences  |  Bloomington, IN</w:t>
      </w:r>
    </w:p>
    <w:p>
      <w:pPr>
        <w:spacing w:before="160" w:after="40"/>
      </w:pPr>
      <w:r>
        <w:rPr>
          <w:b/>
          <w:sz w:val="22"/>
        </w:rPr>
        <w:t>CERTIFICATIONS &amp; LICENSURE</w:t>
      </w:r>
    </w:p>
    <w:p>
      <w:pPr>
        <w:pStyle w:val="ListBullet"/>
        <w:spacing w:after="40"/>
      </w:pPr>
      <w:r>
        <w:t>Advanced Cardiac Life Support (ACLS) – 2023 to present</w:t>
      </w:r>
    </w:p>
    <w:p>
      <w:pPr>
        <w:pStyle w:val="ListBullet"/>
        <w:spacing w:after="40"/>
      </w:pPr>
      <w:r>
        <w:t>Basic Life Support (BLS) – 2023 to present</w:t>
      </w:r>
    </w:p>
    <w:p>
      <w:pPr>
        <w:pStyle w:val="ListBullet"/>
        <w:spacing w:after="40"/>
      </w:pPr>
      <w:r>
        <w:t>Advanced Trauma Life Support (ATLS) – October 2025 to October 2029</w:t>
      </w:r>
    </w:p>
    <w:p>
      <w:pPr>
        <w:pStyle w:val="ListBullet"/>
        <w:spacing w:after="40"/>
      </w:pPr>
      <w:r>
        <w:t>Certified Clinical Research Associate (CCRA) – earned 2023; expired, recertification in process</w:t>
      </w:r>
    </w:p>
    <w:p>
      <w:pPr>
        <w:pStyle w:val="ListBullet"/>
        <w:spacing w:after="40"/>
      </w:pPr>
      <w:r>
        <w:t>California PA license – application in progress, expected January 2027</w:t>
      </w:r>
    </w:p>
    <w:p>
      <w:pPr>
        <w:spacing w:before="160" w:after="40"/>
      </w:pPr>
      <w:r>
        <w:rPr>
          <w:b/>
          <w:sz w:val="22"/>
        </w:rPr>
        <w:t>CLINICAL ROTATION EXPERIENCE</w:t>
      </w:r>
    </w:p>
    <w:p>
      <w:r>
        <w:t>12 rotations completed across 8 specialties during MSPAS training:</w:t>
      </w:r>
    </w:p>
    <w:p>
      <w:pPr>
        <w:pStyle w:val="ListBullet"/>
        <w:spacing w:after="40"/>
      </w:pPr>
      <w:r>
        <w:t>Family Medicine — Adel, IA / Ankeny, IA</w:t>
      </w:r>
    </w:p>
    <w:p>
      <w:pPr>
        <w:pStyle w:val="ListBullet"/>
        <w:spacing w:after="40"/>
      </w:pPr>
      <w:r>
        <w:t>Internal Medicine (×2) — Palos Heights, IL / Des Moines, IA</w:t>
      </w:r>
    </w:p>
    <w:p>
      <w:pPr>
        <w:pStyle w:val="ListBullet"/>
        <w:spacing w:after="40"/>
      </w:pPr>
      <w:r>
        <w:t>Primary Care — Palos Heights, IL</w:t>
      </w:r>
    </w:p>
    <w:p>
      <w:pPr>
        <w:pStyle w:val="ListBullet"/>
        <w:spacing w:after="40"/>
      </w:pPr>
      <w:r>
        <w:t>Pediatrics — Indianola, IA</w:t>
      </w:r>
    </w:p>
    <w:p>
      <w:pPr>
        <w:pStyle w:val="ListBullet"/>
        <w:spacing w:after="40"/>
      </w:pPr>
      <w:r>
        <w:t>Women's Health — Nevada, IA</w:t>
      </w:r>
    </w:p>
    <w:p>
      <w:pPr>
        <w:pStyle w:val="ListBullet"/>
        <w:spacing w:after="40"/>
      </w:pPr>
      <w:r>
        <w:t>Emergency Medicine — Des Moines, IA</w:t>
      </w:r>
    </w:p>
    <w:p>
      <w:pPr>
        <w:pStyle w:val="ListBullet"/>
        <w:spacing w:after="40"/>
      </w:pPr>
      <w:r>
        <w:t>Hematology/Oncology (MD Anderson) — Houston, TX</w:t>
      </w:r>
    </w:p>
    <w:p>
      <w:pPr>
        <w:pStyle w:val="ListBullet"/>
        <w:spacing w:after="40"/>
      </w:pPr>
      <w:r>
        <w:t>Surgery — Minneapolis, MN</w:t>
      </w:r>
    </w:p>
    <w:p>
      <w:pPr>
        <w:pStyle w:val="ListBullet"/>
        <w:spacing w:after="40"/>
      </w:pPr>
      <w:r>
        <w:t>Dermatology — West Des Moines, IA</w:t>
      </w:r>
    </w:p>
    <w:p>
      <w:pPr>
        <w:pStyle w:val="ListBullet"/>
        <w:spacing w:after="40"/>
      </w:pPr>
      <w:r>
        <w:t>Pediatric Physical Medicine &amp; Rehab — Johnston, IA</w:t>
      </w:r>
    </w:p>
    <w:p>
      <w:pPr>
        <w:pStyle w:val="ListBullet"/>
        <w:spacing w:after="40"/>
      </w:pPr>
      <w:r>
        <w:t>Behavioral &amp; Mental Health — Des Moines, IA</w:t>
      </w:r>
    </w:p>
    <w:p>
      <w:pPr>
        <w:spacing w:before="160" w:after="40"/>
      </w:pPr>
      <w:r>
        <w:rPr>
          <w:b/>
          <w:sz w:val="22"/>
        </w:rPr>
        <w:t>PUBLICATIONS &amp; PRESENTATIONS</w:t>
      </w:r>
    </w:p>
    <w:p>
      <w:r>
        <w:t>Gallaway K., Sakon C., Ongeri J., et al. (2022). Opportunity for pharmacogenetics testing in patients with sickle cell anemia. Pharmacogenomics. https://doi.org/10.2217/pgs-2022-0115</w:t>
      </w:r>
    </w:p>
    <w:p>
      <w:r>
        <w:t>Newman S., Loughery E., Ecklund A., Smothers M., Ongeri J. (2020). Spatial training using game play in preschoolers improves computational skills. Mathematical Thinking and Learning. https://doi.org/10.1080/10986065.2021.1969866</w:t>
      </w:r>
    </w:p>
    <w:p>
      <w:r>
        <w:t>Ongeri J., Szuperak M., Kayser M. (2020). Identification of sleep-wake circuits in Drosophila larvae. Presented at APSA South Regional Symposium, October 2020.</w:t>
      </w:r>
    </w:p>
    <w:p>
      <w:pPr>
        <w:spacing w:before="160" w:after="40"/>
      </w:pPr>
      <w:r>
        <w:rPr>
          <w:b/>
          <w:sz w:val="22"/>
        </w:rPr>
        <w:t>VOLUNTEER &amp; COMMUNITY SERVICE</w:t>
      </w:r>
    </w:p>
    <w:p>
      <w:pPr>
        <w:pStyle w:val="ListBullet"/>
        <w:spacing w:after="40"/>
      </w:pPr>
      <w:r>
        <w:t>Boys Reaching for Opportunities in Science (BROS) – Volunteer, 2024</w:t>
      </w:r>
    </w:p>
    <w:p>
      <w:pPr>
        <w:spacing w:before="160" w:after="40"/>
      </w:pPr>
      <w:r>
        <w:rPr>
          <w:b/>
          <w:sz w:val="22"/>
        </w:rPr>
        <w:t>PROFESSIONAL REFERENCES</w:t>
      </w:r>
    </w:p>
    <w:p>
      <w:r>
        <w:t>Available upon request.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