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Interventional Radiology Physician Assistant / Nurse Practitioner (part-time, 2 days/week) position at Imagen Technologies.</w:t>
      </w:r>
    </w:p>
    <w:p>
      <w:r>
        <w:t>I completed a surgery rotation in Minneapolis, and in the Emergency Department I perform procedures independently, including sutures (ten or more), incision and drainage (six), epistaxis management (four), open fracture management (two) and joint reductions. I hold ATLS certification (October 2025) and see 15–25 patients per shift.</w:t>
      </w:r>
    </w:p>
    <w:p>
      <w:r>
        <w:t>A procedural practice that combines fluoroscopy-guided interventions with a broader IR case mix, working next to onsite radiologists, appeals to the part of my training that I enjoy most.</w:t>
      </w:r>
    </w:p>
    <w:p>
      <w:r>
        <w:t>I have not worked in interventional radiology; my procedural experience comes from the ED and my surgery rotation, and I would expect to be trained into the IR workflow.</w:t>
      </w:r>
    </w:p>
    <w:p>
      <w:r>
        <w:t>My California PA license application is in process, with an expected issue date of January 2027.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