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II position at ObjectiveHealth.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