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Senior CRA II (remote) position at Actalent.</w:t>
      </w:r>
    </w:p>
    <w:p>
      <w:r>
        <w:t>From 2022 to 2023 I worked as a breast/oncology Clinical Research Associate at the IU Simon Comprehensive Cancer Center, and I earned the CCRA credential in 2023. I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Actalent's remote CRA role would let me return to clinical research with a clinician's perspective.</w:t>
      </w:r>
    </w:p>
    <w:p>
      <w:r>
        <w:t>This is a senior role. My CRA experience is from 2022 to 2023 at the IU Simon Comprehensive Cancer Center, and I would welcome a conversation about how it compares with what you need.</w:t>
      </w:r>
    </w:p>
    <w:p>
      <w:r>
        <w:t>I hold an MSPAS from Des Moines University (August 2025) and a BS in neuroscience from Indiana University.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