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physician assistant (PA-C) with a clinical research background, working in the Emergency Department at UnityPoint Health – Allen Hospital since October 2025, and I am writing to apply for the Clinical Research Coordinator position at Retinal Consultants Medical Group.</w:t>
      </w:r>
    </w:p>
    <w:p>
      <w:r>
        <w:t>From 2022 to 2023 I worked as a Clinical Research Associate at the IU Simon Comprehensive Cancer Center, managing breast and OB oncology clinical trials, keeping sponsors updated, and updating and confirming study records. I earned the CCRA credential in 2023 and also completed four research assistant internships, including pharmacogenomics research in sickle cell anemia, MEG/EEG neuroscience research, and neuroimaging, and I am a co-author on two peer-reviewed publications (Pharmacogenomics, 2022; Mathematical Thinking and Learning, 2020). As a PA-C assessing 15–25 patients per shift in an emergency department, I also bring a clinician's view of the patient safety and clinical judgment that trials depend on. My CCRA credential has expired and recertification is in process.</w:t>
      </w:r>
    </w:p>
    <w:p>
      <w:r>
        <w:t>A retinal research practice running clinical trials in Sacramento is a good fit for my research background.</w:t>
      </w:r>
    </w:p>
    <w:p>
      <w:r>
        <w:t>I hold an MSPAS from Des Moines University (August 2025) and a BS in neuroscience from Indiana University.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