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he-dog-got-there-first"/>
    <w:p>
      <w:pPr>
        <w:pStyle w:val="Heading1"/>
      </w:pPr>
      <w:r>
        <w:t xml:space="preserve">The Dog Got There First</w:t>
      </w:r>
    </w:p>
    <w:p>
      <w:pPr>
        <w:pStyle w:val="FirstParagraph"/>
      </w:pPr>
      <w:r>
        <w:rPr>
          <w:iCs/>
          <w:i/>
        </w:rPr>
        <w:t xml:space="preserve">Why the only oxygen carrier ever sold in a clinic was sold to veterinarians, and what that says about the rest of the field</w:t>
      </w:r>
    </w:p>
    <w:p>
      <w:pPr>
        <w:pStyle w:val="BodyText"/>
      </w:pPr>
      <w:r>
        <w:t xml:space="preserve">If you want to know whether a bovine hemoglobin oxygen carrier can sit in a bag on a shelf, be hung on a pole, and be given to a sick animal by a tired person at two in the morning, you do not have to guess. It has been happening for a quarter century. The product is called Oxyglobin, it is a polymerized bovine hemoglobin solution, and it was approved for dogs in the United States in the late 1990s, before any comparable product cleared a human regulator anywhere in the wealthy world.</w:t>
      </w:r>
    </w:p>
    <w:p>
      <w:pPr>
        <w:pStyle w:val="BodyText"/>
      </w:pPr>
      <w:r>
        <w:t xml:space="preserve">That fact is mentioned in most reviews and then dropped. It deserves better, because the veterinary record is the only large, unglamorous, real-world data set we have on what a BHOC does when nobody is running a trial around it. This post reads that record for what it teaches, and for what it cannot teach.</w:t>
      </w:r>
    </w:p>
    <w:bookmarkStart w:id="20" w:name="why-dogs-and-why-first"/>
    <w:p>
      <w:pPr>
        <w:pStyle w:val="Heading2"/>
      </w:pPr>
      <w:r>
        <w:t xml:space="preserve">Why dogs, and why first</w:t>
      </w:r>
    </w:p>
    <w:p>
      <w:pPr>
        <w:pStyle w:val="FirstParagraph"/>
      </w:pPr>
      <w:r>
        <w:t xml:space="preserve">The answer is not sentimental. It is structural.</w:t>
      </w:r>
    </w:p>
    <w:p>
      <w:pPr>
        <w:pStyle w:val="BodyText"/>
      </w:pPr>
      <w:r>
        <w:t xml:space="preserve">A human oxygen carrier has to answer to a regulator that asks one brutal question: does it reduce death compared with red cells? Red cells are the comparator, they are excellent, and in the settings where they are available they are hard to beat. A carrier that merely matches them on paper still has to explain why anyone should take a new risk.</w:t>
      </w:r>
    </w:p>
    <w:p>
      <w:pPr>
        <w:pStyle w:val="BodyText"/>
      </w:pPr>
      <w:r>
        <w:t xml:space="preserve">A dog with immune-mediated hemolytic anemia is in a different position. A veterinary clinic often has no matched canine blood on the shelf. Canine blood banks exist, but they are patchy, most practices do not stock units, and a unit of dog red cells has a short shelf life compared with a room-temperature bag of polymerized hemoglobin. The comparison is not red cells versus BHOC. It is frequently BHOC versus nothing in the next hour. The bar for benefit is lower, the question is simpler, and the regulator can approve on a clinical endpoint such as improvement in the signs of anemia without demanding a mortality win over an unavailable alternative.</w:t>
      </w:r>
    </w:p>
    <w:p>
      <w:pPr>
        <w:pStyle w:val="BodyText"/>
      </w:pPr>
      <w:r>
        <w:t xml:space="preserve">Two other features helped. Dogs have no strong naturally occurring antibodies against a first transfusion of the common blood types, so the immunologic story is less pressing than in cats. And the bovine hemoglobin in Oxyglobin was purified, cross-linked with glutaraldehyde into polymers, and stripped of the red cell membrane, which is where the blood group antigens live. Nothing about blood type has to be matched. That single property, universal compatibility, is the reason emergency clinicians liked it.</w:t>
      </w:r>
    </w:p>
    <w:bookmarkEnd w:id="20"/>
    <w:bookmarkStart w:id="21" w:name="what-the-product-actually-was"/>
    <w:p>
      <w:pPr>
        <w:pStyle w:val="Heading2"/>
      </w:pPr>
      <w:r>
        <w:t xml:space="preserve">What the product actually was</w:t>
      </w:r>
    </w:p>
    <w:p>
      <w:pPr>
        <w:pStyle w:val="FirstParagraph"/>
      </w:pPr>
      <w:r>
        <w:t xml:space="preserve">Oxyglobin was supplied as a sterile solution with a hemoglobin concentration in the low teens of grams per deciliter, packaged in a flexible bag, and stored at room temperature for a shelf life measured in years. The hemoglobin sat in plasma, not in cells. It raised the oxygen content of blood without raising the hematocrit, which is a strange thing to see on a monitor. The dog’s packed cell volume could remain low while the plasma turned the color of red wine.</w:t>
      </w:r>
    </w:p>
    <w:p>
      <w:pPr>
        <w:pStyle w:val="BodyText"/>
      </w:pPr>
      <w:r>
        <w:t xml:space="preserve">The half-life in the circulation was short, on the order of a day. This matters. It means the product is a bridge, not a repair. It carries oxygen while the dog’s marrow, or a transfusion, or the treatment of the underlying disease catches up. Every serious veterinary discussion of the product says the same thing in different words: it buys time.</w:t>
      </w:r>
    </w:p>
    <w:p>
      <w:pPr>
        <w:pStyle w:val="BodyText"/>
      </w:pPr>
      <w:r>
        <w:t xml:space="preserve">And it did have a signature side effect, the one every clinician learned first. Free polymerized hemoglobin in plasma discolors things. Mucous membranes look yellow or brownish, the whites of the eyes tint, urine turns red-brown. Nothing is wrong with the kidneys in those cases, yet a new technician panics. Colorimetric laboratory tests can also be thrown off, because the pigment interferes with the reading. Chemistry values drawn while the product is circulating have to be interpreted with that in mind.</w:t>
      </w:r>
    </w:p>
    <w:bookmarkEnd w:id="21"/>
    <w:bookmarkStart w:id="22" w:name="the-lesson-nobody-advertises-volume"/>
    <w:p>
      <w:pPr>
        <w:pStyle w:val="Heading2"/>
      </w:pPr>
      <w:r>
        <w:t xml:space="preserve">The lesson nobody advertises: volume</w:t>
      </w:r>
    </w:p>
    <w:p>
      <w:pPr>
        <w:pStyle w:val="FirstParagraph"/>
      </w:pPr>
      <w:r>
        <w:t xml:space="preserve">The most useful thing the veterinary record teaches has nothing to do with oxygen. It is about volume.</w:t>
      </w:r>
    </w:p>
    <w:p>
      <w:pPr>
        <w:pStyle w:val="BodyText"/>
      </w:pPr>
      <w:r>
        <w:t xml:space="preserve">Polymerized hemoglobin is colloid-active. It pulls water into the vessels. In a dog with a healthy heart and a low blood volume, that is a feature. In a dog with heart disease, or a cat of almost any description, it is a hazard. Clinicians learned to give the product slowly, to watch respiratory rate, and to avoid it in animals already close to fluid overload. Cats in particular, with small blood volumes and a tendency toward hidden cardiac disease, showed a narrow margin. Pulmonary edema and pleural effusion became the reported adverse events that mattered.</w:t>
      </w:r>
    </w:p>
    <w:p>
      <w:pPr>
        <w:pStyle w:val="BodyText"/>
      </w:pPr>
      <w:r>
        <w:t xml:space="preserve">Now translate that to a person. A large bolus of a colloid-active oxygen carrier, given to a patient already receiving other fluids, is a volume load. The human trials of hemoglobin products reported effects on blood pressure and heart function that are tangled up with this same physiology. The veterinary literature does not settle the human argument. It does show something clean: dose, rate, and cardiac reserve interact, and the people who use these products daily learned that from animals long before a human protocol wrote it down.</w:t>
      </w:r>
    </w:p>
    <w:bookmarkEnd w:id="22"/>
    <w:bookmarkStart w:id="23" w:name="what-a-working-product-does-to-a-clinic"/>
    <w:p>
      <w:pPr>
        <w:pStyle w:val="Heading2"/>
      </w:pPr>
      <w:r>
        <w:t xml:space="preserve">What a working product does to a clinic</w:t>
      </w:r>
    </w:p>
    <w:p>
      <w:pPr>
        <w:pStyle w:val="FirstParagraph"/>
      </w:pPr>
      <w:r>
        <w:t xml:space="preserve">Here is the part I find most valuable, and I have not seen it written anywhere in the formal literature. When a product is on the shelf, practice changes.</w:t>
      </w:r>
    </w:p>
    <w:p>
      <w:pPr>
        <w:pStyle w:val="BodyText"/>
      </w:pPr>
      <w:r>
        <w:t xml:space="preserve">A clinician who knows a compatible, ready oxygen carrier exists behaves differently at intake. The decision to start supportive care no longer waits for a donor, a crossmatch, or a courier. A dog in crisis gets something in minutes. The effect is not on the animal that would have been transfused anyway. It is on the animal that would have been euthanized, or referred too far, or lost in the delay while everyone searched for blood.</w:t>
      </w:r>
    </w:p>
    <w:p>
      <w:pPr>
        <w:pStyle w:val="BodyText"/>
      </w:pPr>
      <w:r>
        <w:t xml:space="preserve">This is an argument about availability that human medicine understands well in the abstract and rarely measures. Every emergency physician has a story of the patient who arrived at the wrong hospital, on the wrong night, with the right blood one hundred kilometers away. A room-temperature bag that needs no typing turns geography into a smaller problem. Oxyglobin was proof, in a modest and cheap setting, that this is not a theory.</w:t>
      </w:r>
    </w:p>
    <w:bookmarkEnd w:id="23"/>
    <w:bookmarkStart w:id="24" w:name="X3d60d0cf14684322e9b2fde23a82fd702135fe5"/>
    <w:p>
      <w:pPr>
        <w:pStyle w:val="Heading2"/>
      </w:pPr>
      <w:r>
        <w:t xml:space="preserve">Then it disappeared, and that is also data</w:t>
      </w:r>
    </w:p>
    <w:p>
      <w:pPr>
        <w:pStyle w:val="FirstParagraph"/>
      </w:pPr>
      <w:r>
        <w:t xml:space="preserve">Oxyglobin did not have a clean commercial life. Its manufacturer went through financial trouble, ownership passed between companies, and supply became unreliable in later years. Veterinarians who had come to depend on it found themselves calling around for the last units in the country. Sometimes they used up expired stock with the owner’s informed consent.</w:t>
      </w:r>
    </w:p>
    <w:p>
      <w:pPr>
        <w:pStyle w:val="BodyText"/>
      </w:pPr>
      <w:r>
        <w:t xml:space="preserve">Read that as a systems finding, not a scandal. A product that saves animals but is made by a thin business will vanish. The veterinary market was never large enough to keep a hemoglobin production plant profitable on its own, and the same plant was chasing a far bigger human indication that never arrived. The result is a paradox that anyone advocating for BHOC should hold in mind. The technology worked well enough to be missed. It was not sustained.</w:t>
      </w:r>
    </w:p>
    <w:p>
      <w:pPr>
        <w:pStyle w:val="BodyText"/>
      </w:pPr>
      <w:r>
        <w:t xml:space="preserve">For a patient-advocacy audience, this suggests a practical lesson. Approval is not the same as durability. A carrier needs a manufacturing base, a supply agreement, and a market that pays for it, or it will be a good idea that lasts twelve years. The veterinary case shows that a niche, cleanly regulated indication can hold a product alive. It also shows that a niche alone cannot.</w:t>
      </w:r>
    </w:p>
    <w:bookmarkEnd w:id="24"/>
    <w:bookmarkStart w:id="25" w:name="X7ce87fbbea06da4f16c5ab715376ee300ecfdab"/>
    <w:p>
      <w:pPr>
        <w:pStyle w:val="Heading2"/>
      </w:pPr>
      <w:r>
        <w:t xml:space="preserve">Military working dogs and the transfer problem</w:t>
      </w:r>
    </w:p>
    <w:p>
      <w:pPr>
        <w:pStyle w:val="FirstParagraph"/>
      </w:pPr>
      <w:r>
        <w:t xml:space="preserve">There is a further reason the veterinary field matters, and it involves working animals. Military and police dogs are treated with something close to trauma-medicine standards, and their handlers care intensely. Field veterinarians who operate far from blood banks have every reason to use a shelf-stable carrier, and published discussions of canine casualty care reflect interest in exactly that kind of product.</w:t>
      </w:r>
    </w:p>
    <w:p>
      <w:pPr>
        <w:pStyle w:val="BodyText"/>
      </w:pPr>
      <w:r>
        <w:t xml:space="preserve">I want to be careful here. I am not going to claim detailed outcome figures for combat dogs, because I could not verify precise numbers, and inventing them would be worse than leaving the space blank. What can be said is narrower and still useful. Where an animal is wounded, remote, and hemorrhaging, the logistics look the same as they do for a soldier: no cold chain, no cross-match, and a helicopter that may not come. The reasoning that made a hemoglobin carrier appealing for dogs in a city practice is stronger in a forward position.</w:t>
      </w:r>
    </w:p>
    <w:p>
      <w:pPr>
        <w:pStyle w:val="BodyText"/>
      </w:pPr>
      <w:r>
        <w:t xml:space="preserve">The transfer problem is the honest limit. Dogs are not small people. Their physiology of hemoglobin binding, their sensitivity to vasoconstriction, their immune response to a bovine protein, and their disease mix are all different. A drug that behaves well in a large, deep-chested animal with an autoimmune anemia is being tested in a very different circulation from a person with a torn femoral artery. The veterinary success tells us the product is manufacturable, storable, and tolerable at the right dose. It does not tell us it reduces human mortality.</w:t>
      </w:r>
    </w:p>
    <w:bookmarkEnd w:id="25"/>
    <w:bookmarkStart w:id="26" w:name="what-advocates-can-actually-use"/>
    <w:p>
      <w:pPr>
        <w:pStyle w:val="Heading2"/>
      </w:pPr>
      <w:r>
        <w:t xml:space="preserve">What advocates can actually use</w:t>
      </w:r>
    </w:p>
    <w:p>
      <w:pPr>
        <w:pStyle w:val="FirstParagraph"/>
      </w:pPr>
      <w:r>
        <w:t xml:space="preserve">There are four things I would carry out of the veterinary record and into any conversation about human access.</w:t>
      </w:r>
    </w:p>
    <w:p>
      <w:pPr>
        <w:pStyle w:val="BodyText"/>
      </w:pPr>
      <w:r>
        <w:t xml:space="preserve">The first is proof of logistics. A polymerized bovine hemoglobin solution can be manufactured at scale, released, shipped, stored at room temperature, and used by ordinary clinical staff. This is no longer an argument. It has been done.</w:t>
      </w:r>
    </w:p>
    <w:p>
      <w:pPr>
        <w:pStyle w:val="BodyText"/>
      </w:pPr>
      <w:r>
        <w:t xml:space="preserve">The second is a benchmark for tolerability. Discoloration, interference with laboratory tests, and volume overload are the predictable events. Any human program should list those first, with the veterinary experience as a floor.</w:t>
      </w:r>
    </w:p>
    <w:p>
      <w:pPr>
        <w:pStyle w:val="BodyText"/>
      </w:pPr>
      <w:r>
        <w:t xml:space="preserve">The third is a warning about supply. A mission that depends on one manufacturer is fragile. If a foundation wants access to matter in five years, it needs to ask who makes the product, who funds continuity, and what happens if the owner changes.</w:t>
      </w:r>
    </w:p>
    <w:p>
      <w:pPr>
        <w:pStyle w:val="BodyText"/>
      </w:pPr>
      <w:r>
        <w:t xml:space="preserve">The fourth is a caution about wording. When someone says</w:t>
      </w:r>
      <w:r>
        <w:t xml:space="preserve"> </w:t>
      </w:r>
      <w:r>
        <w:t xml:space="preserve">“</w:t>
      </w:r>
      <w:r>
        <w:t xml:space="preserve">it has been used safely in animals,</w:t>
      </w:r>
      <w:r>
        <w:t xml:space="preserve">”</w:t>
      </w:r>
      <w:r>
        <w:t xml:space="preserve"> </w:t>
      </w:r>
      <w:r>
        <w:t xml:space="preserve">the useful reply is: which animals, at what dose, in which disease, and safe compared with what? The answer for dogs with hemolytic anemia is quite good. The answer for a cat with a failing heart is more guarded. The answer for a person is not settled by either.</w:t>
      </w:r>
    </w:p>
    <w:bookmarkEnd w:id="26"/>
    <w:bookmarkStart w:id="27" w:name="the-uncomfortable-comparison"/>
    <w:p>
      <w:pPr>
        <w:pStyle w:val="Heading2"/>
      </w:pPr>
      <w:r>
        <w:t xml:space="preserve">The uncomfortable comparison</w:t>
      </w:r>
    </w:p>
    <w:p>
      <w:pPr>
        <w:pStyle w:val="FirstParagraph"/>
      </w:pPr>
      <w:r>
        <w:t xml:space="preserve">There is a sentence that gets said quietly in veterinary circles and rarely in human ones: an animal in acute anemia with no donor has a treatment, and a person in the same position, in most places, does not. That is not an argument that dogs matter more. It is a description of how regulation, liability, and market size interacted. Human trials had to prove that a product beat a very good standard, and the first generation of products did not always do it. The veterinary route only needed to prove that the product helped a patient who otherwise had little.</w:t>
      </w:r>
    </w:p>
    <w:p>
      <w:pPr>
        <w:pStyle w:val="BodyText"/>
      </w:pPr>
      <w:r>
        <w:t xml:space="preserve">Whether that difference is right or wrong is a policy question for other posts. As a piece of evidence, it points in a clear direction. If there is a human setting where the alternative to a carrier is really nothing, because blood is unavailable, unacceptable, or unmatched, then the veterinary logic applies to that setting almost directly. That is why the conversation about expanded access, and about people who cannot receive blood for reasons of conscience or logistics, keeps returning to the same product family.</w:t>
      </w:r>
    </w:p>
    <w:p>
      <w:pPr>
        <w:pStyle w:val="BodyText"/>
      </w:pPr>
      <w:r>
        <w:t xml:space="preserve">The dog got there first because the question asked of the dog was easier. The rest of us are still working out whether it should be.</w:t>
      </w:r>
    </w:p>
    <w:bookmarkEnd w:id="27"/>
    <w:bookmarkStart w:id="28" w:name="further-reading"/>
    <w:p>
      <w:pPr>
        <w:pStyle w:val="Heading2"/>
      </w:pPr>
      <w:r>
        <w:t xml:space="preserve">Further reading</w:t>
      </w:r>
    </w:p>
    <w:p>
      <w:pPr>
        <w:pStyle w:val="FirstParagraph"/>
      </w:pPr>
      <w:r>
        <w:t xml:space="preserve">Publicly available veterinary labeling and clinical reviews of Oxyglobin describe its indication, dosing, half-life, and adverse events, and are the best primary starting point. Readers should treat any figure quoted here as approximate and confirm it against the current label or a veterinary pharmacology source before relying on it.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2026-09-30T04:56:22Z</dcterms:created>
  <dcterms:modified xsi:type="dcterms:W3CDTF">2026-09-30T04:56:22Z</dcterms:modified>
</cp:coreProperties>
</file>

<file path=docProps/custom.xml><?xml version="1.0" encoding="utf-8"?>
<Properties xmlns="http://schemas.openxmlformats.org/officeDocument/2006/custom-properties" xmlns:vt="http://schemas.openxmlformats.org/officeDocument/2006/docPropsVTypes"/>
</file>