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0"/>
      </w:pPr>
    </w:p>
    <w:p>
      <w:pPr>
        <w:spacing w:after="60"/>
        <w:jc w:val="center"/>
      </w:pPr>
      <w:r>
        <w:rPr>
          <w:rFonts w:ascii="Arial" w:cs="Arial" w:eastAsia="Arial" w:hAnsi="Arial"/>
          <w:b/>
          <w:bCs/>
          <w:color w:val="006B61"/>
          <w:sz w:val="20"/>
          <w:szCs w:val="20"/>
        </w:rPr>
        <w:t xml:space="preserve">COLD ISCHEMIA FOUNDATION</w:t>
      </w:r>
    </w:p>
    <w:p>
      <w:pPr>
        <w:pBdr>
          <w:bottom w:val="single" w:color="006B61" w:sz="5" w:space="6"/>
        </w:pBdr>
        <w:spacing w:after="320"/>
        <w:jc w:val="center"/>
      </w:pPr>
      <w:r>
        <w:rPr>
          <w:rFonts w:ascii="Arial" w:cs="Arial" w:eastAsia="Arial" w:hAnsi="Arial"/>
          <w:b w:val="false"/>
          <w:bCs w:val="false"/>
          <w:color w:val="5A6E82"/>
          <w:sz w:val="18"/>
          <w:szCs w:val="18"/>
        </w:rPr>
        <w:t xml:space="preserve">coldischemia.foundation  ·  Ellenton, Florida 34222  ·  FL-16  ·  2025</w:t>
      </w:r>
    </w:p>
    <w:p>
      <w:pPr>
        <w:spacing w:after="160" w:before="0"/>
      </w:pPr>
    </w:p>
    <w:p>
      <w:pPr>
        <w:spacing w:after="60"/>
        <w:jc w:val="center"/>
      </w:pPr>
      <w:r>
        <w:rPr>
          <w:rFonts w:ascii="Arial" w:cs="Arial" w:eastAsia="Arial" w:hAnsi="Arial"/>
          <w:b/>
          <w:bCs/>
          <w:color w:val="0F1E2E"/>
          <w:sz w:val="52"/>
          <w:szCs w:val="52"/>
        </w:rPr>
        <w:t xml:space="preserve">THE INTELLIGENCE GAP:</w:t>
      </w:r>
    </w:p>
    <w:p>
      <w:pPr>
        <w:spacing w:after="80"/>
        <w:jc w:val="center"/>
      </w:pPr>
      <w:r>
        <w:rPr>
          <w:rFonts w:ascii="Arial" w:cs="Arial" w:eastAsia="Arial" w:hAnsi="Arial"/>
          <w:b/>
          <w:bCs/>
          <w:color w:val="006B61"/>
          <w:sz w:val="44"/>
          <w:szCs w:val="44"/>
        </w:rPr>
        <w:t xml:space="preserve">HOW ARTIFICIAL INTELLIGENCE CAN END</w:t>
      </w:r>
    </w:p>
    <w:p>
      <w:pPr>
        <w:pBdr>
          <w:bottom w:val="single" w:color="CCCCCC" w:sz="3" w:space="6"/>
        </w:pBdr>
        <w:spacing w:after="200"/>
        <w:jc w:val="center"/>
      </w:pPr>
      <w:r>
        <w:rPr>
          <w:rFonts w:ascii="Arial" w:cs="Arial" w:eastAsia="Arial" w:hAnsi="Arial"/>
          <w:b/>
          <w:bCs/>
          <w:color w:val="0F1E2E"/>
          <w:sz w:val="44"/>
          <w:szCs w:val="44"/>
        </w:rPr>
        <w:t xml:space="preserve">AMERICA’S LIVING DONOR CRISIS</w:t>
      </w:r>
    </w:p>
    <w:p>
      <w:pPr>
        <w:spacing w:after="80" w:before="0"/>
      </w:pPr>
    </w:p>
    <w:p>
      <w:pPr>
        <w:spacing w:after="60"/>
        <w:jc w:val="center"/>
      </w:pPr>
      <w:r>
        <w:rPr>
          <w:rFonts w:ascii="Arial" w:cs="Arial" w:eastAsia="Arial" w:hAnsi="Arial"/>
          <w:b/>
          <w:bCs/>
          <w:color w:val="006B61"/>
          <w:sz w:val="20"/>
          <w:szCs w:val="20"/>
        </w:rPr>
        <w:t xml:space="preserve">A PEER-REVIEWED ACADEMIC WHITE PAPER</w:t>
      </w:r>
    </w:p>
    <w:p>
      <w:pPr>
        <w:spacing w:after="80"/>
        <w:jc w:val="center"/>
      </w:pPr>
      <w:r>
        <w:rPr>
          <w:rFonts w:ascii="Arial" w:cs="Arial" w:eastAsia="Arial" w:hAnsi="Arial"/>
          <w:b w:val="false"/>
          <w:bCs w:val="false"/>
          <w:color w:val="3D5166"/>
          <w:sz w:val="24"/>
          <w:szCs w:val="24"/>
        </w:rPr>
        <w:t xml:space="preserve">Project Donor-Flow: The AI-Psychosocial Integration Framework for Predictive Donor Lifecycle Management</w:t>
      </w:r>
    </w:p>
    <w:p>
      <w:pPr>
        <w:spacing w:after="80" w:before="0"/>
      </w:pPr>
    </w:p>
    <w:p>
      <w:pPr>
        <w:spacing w:after="60"/>
        <w:jc w:val="center"/>
      </w:pPr>
      <w:r>
        <w:rPr>
          <w:rFonts w:ascii="Arial" w:cs="Arial" w:eastAsia="Arial" w:hAnsi="Arial"/>
          <w:b/>
          <w:bCs/>
          <w:color w:val="0F1E2E"/>
          <w:sz w:val="22"/>
          <w:szCs w:val="22"/>
        </w:rPr>
        <w:t xml:space="preserve">Jeff Parke, Co-Founder &amp; Executive Director</w:t>
      </w:r>
    </w:p>
    <w:p>
      <w:pPr>
        <w:spacing w:after="60"/>
        <w:jc w:val="center"/>
      </w:pPr>
      <w:r>
        <w:rPr>
          <w:rFonts w:ascii="Arial" w:cs="Arial" w:eastAsia="Arial" w:hAnsi="Arial"/>
          <w:b/>
          <w:bCs/>
          <w:color w:val="0F1E2E"/>
          <w:sz w:val="22"/>
          <w:szCs w:val="22"/>
        </w:rPr>
        <w:t xml:space="preserve">Marie Parke, RN, Co-Founder &amp; Primary Author</w:t>
      </w:r>
    </w:p>
    <w:p>
      <w:pPr>
        <w:spacing w:after="80"/>
        <w:jc w:val="center"/>
      </w:pPr>
      <w:r>
        <w:rPr>
          <w:rFonts w:ascii="Arial" w:cs="Arial" w:eastAsia="Arial" w:hAnsi="Arial"/>
          <w:b w:val="false"/>
          <w:bCs w:val="false"/>
          <w:color w:val="5A6E82"/>
          <w:sz w:val="20"/>
          <w:szCs w:val="20"/>
        </w:rPr>
        <w:t xml:space="preserve">Cold Ischemia Foundation  |  2025  |  14,000-Word Edition</w:t>
      </w:r>
    </w:p>
    <w:p>
      <w:pPr>
        <w:spacing w:after="120" w:before="0"/>
      </w:pPr>
    </w:p>
    <w:p>
      <w:pPr>
        <w:pBdr>
          <w:top w:val="single" w:color="BBBBBB" w:sz="4" w:space="5"/>
          <w:bottom w:val="single" w:color="BBBBBB" w:sz="4" w:space="5"/>
        </w:pBdr>
        <w:spacing w:after="80" w:before="0"/>
        <w:jc w:val="center"/>
      </w:pPr>
      <w:r>
        <w:rPr>
          <w:rFonts w:ascii="Arial" w:cs="Arial" w:eastAsia="Arial" w:hAnsi="Arial"/>
          <w:b/>
          <w:bCs/>
          <w:color w:val="006B61"/>
          <w:sz w:val="17"/>
          <w:szCs w:val="17"/>
        </w:rPr>
        <w:t xml:space="preserve">INTELLECTUAL PROPERTY NOTICE  —  PROPRIETARY AI FRAMEWORK</w:t>
      </w:r>
    </w:p>
    <w:p>
      <w:pPr>
        <w:spacing w:after="0"/>
        <w:jc w:val="center"/>
      </w:pPr>
      <w:r>
        <w:rPr>
          <w:rFonts w:ascii="Arial" w:cs="Arial" w:eastAsia="Arial" w:hAnsi="Arial"/>
          <w:b w:val="false"/>
          <w:bCs w:val="false"/>
          <w:color w:val="5A6E82"/>
          <w:sz w:val="17"/>
          <w:szCs w:val="17"/>
        </w:rPr>
        <w:t xml:space="preserve">This white paper, all AI frameworks, algorithmic architectures, Donor Readiness Score models, protocol designs, process maps, and derivative analytical conclusions are the exclusive intellectual property of the Cold Ischemia Foundation. Statistical data cited is drawn from publicly available peer-reviewed federal datasets; all framework designs and conclusions are original CIF intellectual property. Reproduction, sublicensing, or commercial use requires express prior written consent. All acquisition and licensing inquiries must be submitted in writing to coldischemia.foundation.</w:t>
      </w:r>
    </w:p>
    <w:p>
      <w:pPr>
        <w:sectPr>
          <w:pgSz w:w="12240" w:h="15840" w:orient="portrait"/>
          <w:pgMar w:top="1080" w:right="1440" w:bottom="1080" w:left="1440" w:header="708" w:footer="708" w:gutter="0"/>
          <w:pgNumType/>
          <w:docGrid w:linePitch="360"/>
        </w:sectPr>
      </w:pPr>
    </w:p>
    <w:p>
      <w:pPr>
        <w:pStyle w:val="Heading1"/>
        <w:spacing w:after="60" w:before="520"/>
      </w:pPr>
      <w:r>
        <w:rPr>
          <w:rFonts w:ascii="Arial" w:cs="Arial" w:eastAsia="Arial" w:hAnsi="Arial"/>
          <w:b/>
          <w:bCs/>
          <w:caps/>
          <w:color w:val="0F1E2E"/>
          <w:sz w:val="30"/>
          <w:szCs w:val="30"/>
        </w:rPr>
        <w:t xml:space="preserve">  ABSTRACT</w:t>
      </w:r>
    </w:p>
    <w:p>
      <w:pPr>
        <w:pBdr>
          <w:bottom w:val="single" w:color="006B61" w:sz="8" w:space="1"/>
        </w:pBdr>
        <w:spacing w:after="200" w:before="0"/>
      </w:pPr>
    </w:p>
    <w:p>
      <w:pPr>
        <w:spacing w:after="200" w:before="0" w:line="370" w:lineRule="auto"/>
        <w:jc w:val="both"/>
      </w:pPr>
      <w:r>
        <w:rPr>
          <w:rFonts w:ascii="Arial" w:cs="Arial" w:eastAsia="Arial" w:hAnsi="Arial"/>
          <w:b w:val="false"/>
          <w:bCs w:val="false"/>
          <w:color w:val="0F1E2E"/>
          <w:sz w:val="22"/>
          <w:szCs w:val="22"/>
        </w:rPr>
        <w:t xml:space="preserve">Every 24 hours, 17 Americans die waiting for a kidney transplant. More than 91,000 patients are currently listed, and the supply of transplantable kidneys — particularly from living donors, who provide superior outcomes, shorter wait times, and better graft survival than any deceased donor source — has not recovered to pre-pandemic levels. In 2023, the United States recorded 6,226 living kidney donors, still 630 below the 2019 peak, despite five years of recovery effort and an unambiguous scientific consensus that living donor kidney transplantation (LDKT) is the single best treatment for end-stage renal disease.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This white paper argues that the living donor crisis is not a shortage of willing donors. It is a failure of intelligence — specifically, the failure to deploy artificial intelligence at every stage of the donor pipeline where it is now demonstrably capable of producing measurable, clinically validated outcomes. From population identification to social media listening, from first contact to psychosocial clearance, from post-donation monitoring to national benchmarking, AI technologies — including machine learning, natural language processing, transformer-based language models, predictive analytics, and geospatial modeling — are not speculative tools in this domain. They are documented and peer-reviewed. What is missing is the operational framework that integrates them into a coherent, end-to-end system.</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Project Donor-Flow, developed by the Cold Ischemia Foundation (CIF), is that framework. This paper presents its complete architecture: eight AI-enabled pipeline stages, two professional data visualizations, validated process sigma calculations, published evidence for every design decision, and a rigorous argument — grounded in the most current peer-reviewed literature — for why AI is not merely useful in closing the living donor gap but is now the primary available mechanism for doing so at the scale the crisis demands.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Keywords: artificial intelligence, living kidney donation, NLP, machine learning, predictive donor lifecycle management, donor readiness score, living donor crisis, LDKT disparities, Cold Ischemia Foundation.</w:t>
      </w:r>
    </w:p>
    <w:p>
      <w:r>
        <w:br w:type="page"/>
      </w:r>
    </w:p>
    <w:p>
      <w:pPr>
        <w:pStyle w:val="Heading1"/>
        <w:spacing w:after="60" w:before="520"/>
      </w:pPr>
      <w:r>
        <w:rPr>
          <w:rFonts w:ascii="Arial" w:cs="Arial" w:eastAsia="Arial" w:hAnsi="Arial"/>
          <w:b/>
          <w:bCs/>
          <w:caps/>
          <w:color w:val="0F1E2E"/>
          <w:sz w:val="30"/>
          <w:szCs w:val="30"/>
        </w:rPr>
        <w:t xml:space="preserve">I.  THE CRISIS: NUMBERS, PATTERNS, AND THE INTELLIGENCE DEFICIT</w:t>
      </w:r>
    </w:p>
    <w:p>
      <w:pPr>
        <w:pBdr>
          <w:bottom w:val="single" w:color="006B61" w:sz="8" w:space="1"/>
        </w:pBdr>
        <w:spacing w:after="200" w:before="0"/>
      </w:pPr>
    </w:p>
    <w:p>
      <w:pPr>
        <w:pStyle w:val="Heading2"/>
        <w:spacing w:after="80" w:before="320"/>
      </w:pPr>
      <w:r>
        <w:rPr>
          <w:rFonts w:ascii="Arial" w:cs="Arial" w:eastAsia="Arial" w:hAnsi="Arial"/>
          <w:b/>
          <w:bCs/>
          <w:color w:val="006B61"/>
          <w:sz w:val="25"/>
          <w:szCs w:val="25"/>
        </w:rPr>
        <w:t xml:space="preserve">1.1  The Scale of the Unmet Need</w:t>
      </w:r>
    </w:p>
    <w:p>
      <w:pPr>
        <w:spacing w:after="200" w:before="0" w:line="370" w:lineRule="auto"/>
        <w:jc w:val="both"/>
      </w:pPr>
      <w:r>
        <w:rPr>
          <w:rFonts w:ascii="Arial" w:cs="Arial" w:eastAsia="Arial" w:hAnsi="Arial"/>
          <w:b w:val="false"/>
          <w:bCs w:val="false"/>
          <w:color w:val="0F1E2E"/>
          <w:sz w:val="22"/>
          <w:szCs w:val="22"/>
        </w:rPr>
        <w:t xml:space="preserve">The numbers that frame this crisis are not ambiguous. As of March 2024, more than 103,000 patients were on the national kidney transplant waiting list (OPTN, 2024). Seventeen people die on the waitlist every single day — not because the clinical intervention is unavailable, not because the technology of transplantation is insufficient, but because the organs needed to perform it are not reaching surgical tables fast enough. Among adults newly listed for kidney transplant in 2018–2020, 6.8% had died on the list within three years of listing, and 19.1% had been removed due to medical deterioration — a combined adverse outcome rate of nearly 26% within three years of waiting (Lentine et al., 2025, SRTR Fig. KI 22).</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Living donor kidney transplantation is the clinical gold standard: five-year graft survival is 90.0% for LDKT compared with 82.2% for deceased donor transplant in recipients aged 18–34 years, and 80.2% versus 66.1% in recipients aged 35–49 (Lentine et al., 2025). A 2024 propensity-matched UK national cohort study of 10,915 transplants found LDKT associated with a 6.03% lower five-year risk of graft failure compared with deceased donor transplantation (95% CI 4.71%–7.35%), representing an additional 0.36 years of graft survival per recipient (Buse et al., 2024). Every living donor transplant that does not happen because a willing, medically appropriate donor was lost to the evaluation pipeline is a measurable clinical loss — not a statistical abstraction.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In 2023, 6,226 living kidney donors were recorded in the United States — 630 below the 2019 peak of 6,856 (SRTR, 2023). The Scientific Registry of Transplant Recipients confirms that more than 80% of individuals who express initial interest in living donation never reach the surgical table. This is not primarily a medical disqualification figure. The Living Donor Collective Pilot Registry (LDCPR), analyzing 2,107 consecutive candidates across 10 programs, found that 15.2% of non-approvals were due to candidate withdrawal before any formal decision — donors who were medically and psychosocially eligible and simply exited the process (Lentine et al., 2021). An additional 10.3% were denied for psychosocial reasons that the published literature characterizes as addressable support needs, not inherent medical barriers.</w:t>
      </w:r>
    </w:p>
    <w:p>
      <w:pPr>
        <w:spacing w:after="80" w:before="0"/>
      </w:pPr>
    </w:p>
    <w:p>
      <w:pPr>
        <w:pStyle w:val="Heading2"/>
        <w:spacing w:after="80" w:before="320"/>
      </w:pPr>
      <w:r>
        <w:rPr>
          <w:rFonts w:ascii="Arial" w:cs="Arial" w:eastAsia="Arial" w:hAnsi="Arial"/>
          <w:b/>
          <w:bCs/>
          <w:color w:val="006B61"/>
          <w:sz w:val="25"/>
          <w:szCs w:val="25"/>
        </w:rPr>
        <w:t xml:space="preserve">1.2  The Intelligence Deficit</w:t>
      </w:r>
    </w:p>
    <w:p>
      <w:pPr>
        <w:spacing w:after="200" w:before="0" w:line="370" w:lineRule="auto"/>
        <w:jc w:val="both"/>
      </w:pPr>
      <w:r>
        <w:rPr>
          <w:rFonts w:ascii="Arial" w:cs="Arial" w:eastAsia="Arial" w:hAnsi="Arial"/>
          <w:b w:val="false"/>
          <w:bCs w:val="false"/>
          <w:color w:val="0F1E2E"/>
          <w:sz w:val="22"/>
          <w:szCs w:val="22"/>
        </w:rPr>
        <w:t xml:space="preserve">The term 'intelligence deficit' is used here precisely. The donor pipeline has an abundance of data: OPTN collects program-level outcome data; SRTR publishes it; USRDS tracks ESRD prevalence by geography; the LDCPR documents the specific failure modes of donor evaluation. The problem is not the absence of data. It is the absence of the computational intelligence to act on that data at the speed, scale, and specificity required to prevent the attrition the data predicts.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A transplant coordinator managing 30–40 simultaneous candidates cannot simultaneously analyze community-level ESRD burden data to optimize outreach, monitor real-time sentiment in 40 donor communications to detect withdrawal risk, pre-screen clinical records before first contact, administer adaptive psychosocial assessments before formal evaluation, and generate auditable protocol documentation for every decision. A well-designed AI system can do all of these things simultaneously, continuously, and without the cognitive fatigue that produces the documented triage bias that disadvantages donors who do not present as logistically convenient (Lentine et al., 2021). The intelligence deficit is the gap between the data the system possesses and the computational capacity it currently deploys to act on that data. Project Donor-Flow closes that gap.</w:t>
      </w:r>
    </w:p>
    <w:p>
      <w:pPr>
        <w:spacing w:after="80" w:before="0"/>
      </w:pPr>
    </w:p>
    <w:p>
      <w:pPr>
        <w:pStyle w:val="Heading2"/>
        <w:spacing w:after="80" w:before="320"/>
      </w:pPr>
      <w:r>
        <w:rPr>
          <w:rFonts w:ascii="Arial" w:cs="Arial" w:eastAsia="Arial" w:hAnsi="Arial"/>
          <w:b/>
          <w:bCs/>
          <w:color w:val="006B61"/>
          <w:sz w:val="25"/>
          <w:szCs w:val="25"/>
        </w:rPr>
        <w:t xml:space="preserve">1.3  The Racial and Geographic Dimensions of the Crisis</w:t>
      </w:r>
    </w:p>
    <w:p>
      <w:pPr>
        <w:spacing w:after="200" w:before="0" w:line="370" w:lineRule="auto"/>
        <w:jc w:val="both"/>
      </w:pPr>
      <w:r>
        <w:rPr>
          <w:rFonts w:ascii="Arial" w:cs="Arial" w:eastAsia="Arial" w:hAnsi="Arial"/>
          <w:b w:val="false"/>
          <w:bCs w:val="false"/>
          <w:color w:val="0F1E2E"/>
          <w:sz w:val="22"/>
          <w:szCs w:val="22"/>
        </w:rPr>
        <w:t xml:space="preserve">The intelligence deficit does not fall equally. The OPTN/SRTR 2023 Annual Data Report explicitly documents that 'disparities in access to living donor kidney transplant (LDKT) persist and particularly affect non-White and publicly insured patients' (Lentine et al., 2025). A multicenter retrospective study of 19,287 adult kidney transplant recipients found Black recipients had 37% lower likelihood of LDKT (adjusted relative risk 0.63; 95% CI 0.59–0.67; p&lt;0.001) independent of community-level vulnerability measures (Axelrod et al., 2021). Of all waitlisted Hispanic patients nationally, only 5.2% received LDKT, compared with 11.4% of non-Hispanic White patients (Waterman et al., 2022).</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Geographically, CIF analysis of OPTN state data combined with USRDS county-level ESRD prevalence and AKF Living Donor Protection Report Card grades identifies a critical cluster of underserved states: Mississippi (AKF grade F; obesity rate 40.8%, highest nationally; diabetes rate 16.9%, highest nationally; zero improvement in living donor rates 2021–2023), Louisiana (AKF grade D; obesity 37.1%; no anti-discrimination law, no job protection, no reimbursement), and Alabama (AKF grade D; obesity 36.3%; absent state-level support infrastructure). These states share the highest disease burden, the weakest legislative protection, and the lowest living donor rates in the nation. They also share the characteristic that makes AI intervention most urgent: their populations face the greatest concentration of the modifiable barriers — financial, logistical, psychosocial, and informational — that the LDCPR documents as the primary drivers of preventable attrition.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A 2023 socioecological review of LDKT racial disparities identified barrier layers operating simultaneously at individual, provider, health system, and community levels (Lam et al., 2023). This multi-level architecture means that no single intervention closes the equity gap. What is required is a system that addresses barriers across all four levels simultaneously — precisely the design principle behind Project Donor-Flow's integrated eight-stage AI architecture. Predictive population mapping addresses community-level barriers. NLP-based intake addresses individual-level information and logistical barriers. Adaptive psychosocial screening addresses provider-level variation. Protocol standardization addresses system-level inequity in evaluation criteria. AI does not simply improve the efficiency of the current system; it redesigns the equity architecture of the system from the ground up.</w:t>
      </w:r>
    </w:p>
    <w:p>
      <w:r>
        <w:br w:type="page"/>
      </w:r>
    </w:p>
    <w:p>
      <w:pPr>
        <w:pStyle w:val="Heading1"/>
        <w:spacing w:after="60" w:before="520"/>
      </w:pPr>
      <w:r>
        <w:rPr>
          <w:rFonts w:ascii="Arial" w:cs="Arial" w:eastAsia="Arial" w:hAnsi="Arial"/>
          <w:b/>
          <w:bCs/>
          <w:caps/>
          <w:color w:val="0F1E2E"/>
          <w:sz w:val="30"/>
          <w:szCs w:val="30"/>
        </w:rPr>
        <w:t xml:space="preserve">II.  AI IN LIVING DONOR PROGRAMS: THE EMERGING EVIDENCE BASE</w:t>
      </w:r>
    </w:p>
    <w:p>
      <w:pPr>
        <w:pBdr>
          <w:bottom w:val="single" w:color="006B61" w:sz="8" w:space="1"/>
        </w:pBdr>
        <w:spacing w:after="200" w:before="0"/>
      </w:pPr>
    </w:p>
    <w:p>
      <w:pPr>
        <w:pStyle w:val="Heading2"/>
        <w:spacing w:after="80" w:before="320"/>
      </w:pPr>
      <w:r>
        <w:rPr>
          <w:rFonts w:ascii="Arial" w:cs="Arial" w:eastAsia="Arial" w:hAnsi="Arial"/>
          <w:b/>
          <w:bCs/>
          <w:color w:val="006B61"/>
          <w:sz w:val="25"/>
          <w:szCs w:val="25"/>
        </w:rPr>
        <w:t xml:space="preserve">2.1  The State of the Science</w:t>
      </w:r>
    </w:p>
    <w:p>
      <w:pPr>
        <w:spacing w:after="200" w:before="0" w:line="370" w:lineRule="auto"/>
        <w:jc w:val="both"/>
      </w:pPr>
      <w:r>
        <w:rPr>
          <w:rFonts w:ascii="Arial" w:cs="Arial" w:eastAsia="Arial" w:hAnsi="Arial"/>
          <w:b w:val="false"/>
          <w:bCs w:val="false"/>
          <w:color w:val="0F1E2E"/>
          <w:sz w:val="22"/>
          <w:szCs w:val="22"/>
        </w:rPr>
        <w:t xml:space="preserve">A landmark 2026 systematic review of AI in living kidney donation, published in Frontiers in Transplantation by Nawar, Motter, Long, Sarpal, Segev, Mankowski, and Levan of NYU Grossman School of Medicine — the first comprehensive synthesis of its kind — concluded that 'AI holds promise for addressing obstacles in living kidney donor programs' across four primary domains: risk prediction and stratification, donor evaluation support, patient education, and social media-based outreach and communication analysis (Nawar et al., 2026). The review covers machine learning applications including random forest, gradient boosting, support vector machines, convolutional neural networks, recurrent neural networks, and transformer-based large language models, each applied to distinct components of the living donor pipeline. This review establishes, for the first time in peer-reviewed literature, a comprehensive evidence base for exactly the AI architecture that Project Donor-Flow operationalizes.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significance of the Nawar et al. (2026) review for this white paper cannot be overstated. It confirms that the AI applications proposed by Project Donor-Flow are not speculative features of a hypothetical system — they are documented, published, peer-reviewed applications with validated methodologies that the transplant research community has already begun to develop, test, and deploy. Project Donor-Flow's contribution is not to invent these applications; it is to integrate them into a coherent, end-to-end operational framework that no existing program has yet assembled, and to do so under the independent, advocacy-driven stewardship of an organization that is not constrained by commercial interests.</w:t>
      </w:r>
    </w:p>
    <w:p>
      <w:pPr>
        <w:spacing w:after="80" w:before="0"/>
      </w:pPr>
    </w:p>
    <w:p>
      <w:pPr>
        <w:pStyle w:val="Heading2"/>
        <w:spacing w:after="80" w:before="320"/>
      </w:pPr>
      <w:r>
        <w:rPr>
          <w:rFonts w:ascii="Arial" w:cs="Arial" w:eastAsia="Arial" w:hAnsi="Arial"/>
          <w:b/>
          <w:bCs/>
          <w:color w:val="006B61"/>
          <w:sz w:val="25"/>
          <w:szCs w:val="25"/>
        </w:rPr>
        <w:t xml:space="preserve">2.2  NLP and Social Media Intelligence: Finding Donors Before They Find You</w:t>
      </w:r>
    </w:p>
    <w:p>
      <w:pPr>
        <w:spacing w:after="200" w:before="0" w:line="370" w:lineRule="auto"/>
        <w:jc w:val="both"/>
      </w:pPr>
      <w:r>
        <w:rPr>
          <w:rFonts w:ascii="Arial" w:cs="Arial" w:eastAsia="Arial" w:hAnsi="Arial"/>
          <w:b w:val="false"/>
          <w:bCs w:val="false"/>
          <w:color w:val="0F1E2E"/>
          <w:sz w:val="22"/>
          <w:szCs w:val="22"/>
        </w:rPr>
        <w:t xml:space="preserve">One of the most transformative AI applications identified in the Nawar et al. (2026) review is the use of natural language processing to classify social media communications about living kidney donation. A 2022 study published in JMIR (now PMC-indexed) developed and validated a machine learning classification system for social media posts related to living kidney donation, training models to distinguish between informational posts, experiential narratives, barrier-expressing communications, and expressions of intent to donate (Waterman et al., 2022, PMC). The research team's goal was explicit: 'to develop a streamlined, automated process for pinpointing curious, motivated potential donors who have not yet presented to the transplant center so that educational interventions could later be directed to them' (Nawar et al., 2026, citing Waterman et al.).</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A 2023 follow-up study investigated how ChatGPT and prompt engineering could be used to classify living kidney donation experiences shared on Reddit, demonstrating that large language models can be applied to the categorization of online donor experience narratives with clinical-grade accuracy (PMC, 2025). The practical implication of this research lineage is profound: the potential donor population is not silent. It is actively discussing kidney donation, dialysis experiences, the impact of watching a family member on the waitlist, and the questions and fears that shape the decision to inquire about donation — on social media platforms that are accessible, analyzable, and increasingly classifiable by AI systems. The current transplant system makes no systematic use of this signal. Project Donor-Flow's Stage 2 architecture — a continuously running NLP monitor that classifies social media communications and flags high-intent individuals for targeted educational outreach — converts this signal into action.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ODTA (2025) AI-driven donor profiling campaign provides the most direct real-world evidence. Using AI to develop three donor motivation archetypes — Caretakers, Purpose Seekers, and Community-Motivated individuals — the campaign reached more than 121,000 people through targeted digital channels and prompted 1,400 individuals to begin the donor evaluation process. This is a 1.16% activation rate from a targeted digital audience — far higher than typical public health campaign engagement, and achievable precisely because the AI profiling directed messages at individuals whose expressed behavior and engagement patterns indicated elevated donation intent. The 1,400 evaluation starters represent only the beginning of the AI value: without a high-retention evaluation system to receive them, a substantial fraction of those 1,400 will be lost to the same structural failures the LDCPR documents. Project Donor-Flow is the infrastructure that converts 1,400 evaluation starters into 1,400 supported candidates.</w:t>
      </w:r>
    </w:p>
    <w:p>
      <w:pPr>
        <w:spacing w:after="80" w:before="0"/>
      </w:pPr>
    </w:p>
    <w:p>
      <w:pPr>
        <w:pStyle w:val="Heading2"/>
        <w:spacing w:after="80" w:before="320"/>
      </w:pPr>
      <w:r>
        <w:rPr>
          <w:rFonts w:ascii="Arial" w:cs="Arial" w:eastAsia="Arial" w:hAnsi="Arial"/>
          <w:b/>
          <w:bCs/>
          <w:color w:val="006B61"/>
          <w:sz w:val="25"/>
          <w:szCs w:val="25"/>
        </w:rPr>
        <w:t xml:space="preserve">2.3  Predictive Analytics for Dropout Prevention</w:t>
      </w:r>
    </w:p>
    <w:p>
      <w:pPr>
        <w:spacing w:after="200" w:before="0" w:line="370" w:lineRule="auto"/>
        <w:jc w:val="both"/>
      </w:pPr>
      <w:r>
        <w:rPr>
          <w:rFonts w:ascii="Arial" w:cs="Arial" w:eastAsia="Arial" w:hAnsi="Arial"/>
          <w:b w:val="false"/>
          <w:bCs w:val="false"/>
          <w:color w:val="0F1E2E"/>
          <w:sz w:val="22"/>
          <w:szCs w:val="22"/>
        </w:rPr>
        <w:t xml:space="preserve">Houston Methodist Hospital's Patient Engagement Research Lab, led by Dr. Amy Waterman, has produced a series of AI applications directly relevant to donor evaluation. A 2025 study in Clinical Transplantation (Al Awadhi et al., 2025) developed and validated machine learning-driven risk indices to predict patient dropout at three specific stages of the transplant-seeking process: referral, evaluation, and waitlisting. Funded by NIH's AIM-AHEAD program (AI/Machine Learning Consortium to Advance Health Equity and Researcher Diversity), the study found that only 40% of patients completed transplant evaluation within 12 months at Houston Methodist — a dropout rate consistent with national data — and that ML models could identify high-risk individuals early, enabling tailored interventions. This is precisely the use case that Project Donor-Flow's Velocity Monitoring and Donor Readiness Score system implements at population scale.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Houston Methodist data is particularly significant because it is drawn from a high-volume clinical program operating under real-world conditions, not a research simulation. The finding that 60% of patients do not complete evaluation within 12 months without AI-enabled early identification and intervention quantifies the operational gap that Project Donor-Flow addresses. When AI models can predict, at the time of referral, which individuals are most likely to drop out of evaluation — and can generate that prediction based on clinical, social, and behavioral data that is routinely collected — the logical next step is to use those predictions to trigger the specific support interventions (financial, logistical, psychosocial, motivational) that the individual's risk profile indicates they need. That is the exact function of the DRS routing system at Stage 3 of Project Donor-Flow.</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AI/ML Consortium to Advance Health Equity and Researcher Diversity (AIM-AHEAD) funding that supported the Al Awadhi et al. (2025) study is itself a signal. The National Institutes of Health's decision to specifically fund AI applications for improving health equity in transplantation — through a consortium explicitly focused on reducing disparities — reflects the federal research community's recognition that the intersection of AI capability and transplant equity is not merely academically interesting but clinically urgent. Project Donor-Flow translates the research outputs of this NIH investment into operational deployment. The Al Awadhi et al. (2025) study validates the ML risk index methodology; Project Donor-Flow operationalizes it as the Donor Readiness Score, deployed at population scale across all inquiry channels rather than as a single-program research instrument.</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Houston Methodist 'human-technology co-care model' framework articulated by Dr. Amy Waterman is philosophically aligned with Project Donor-Flow's design principle in a way that deserves explicit recognition. Waterman's presentation to the ODTA National Innovation Forum (ODTA, 2025) described the model as integrating 'the strengths of human-delivered medical care with Artificial Intelligence and Machine Learning technologies' — not AI replacing human care, but AI making human care more precisely targeted, more timely, and more equitable. The empathetic AI chatbot developed as part of this work — 'capable of responding to emotionally complex questions about donation' — represents the direct application of transformer-based language models to the exact use case that Stage 3 of Project Donor-Flow operationalizes: AI-mediated first contact that can address emotionally complex donor concerns in real time, without the availability constraints of a human coordinator. This is AI as a force multiplier for human clinical capacity, not a replacement for it.</w:t>
      </w:r>
    </w:p>
    <w:p>
      <w:pPr>
        <w:spacing w:after="80" w:before="0"/>
      </w:pPr>
    </w:p>
    <w:p>
      <w:pPr>
        <w:pStyle w:val="Heading2"/>
        <w:spacing w:after="80" w:before="320"/>
      </w:pPr>
      <w:r>
        <w:rPr>
          <w:rFonts w:ascii="Arial" w:cs="Arial" w:eastAsia="Arial" w:hAnsi="Arial"/>
          <w:b/>
          <w:bCs/>
          <w:color w:val="006B61"/>
          <w:sz w:val="25"/>
          <w:szCs w:val="25"/>
        </w:rPr>
        <w:t xml:space="preserve">2.4  ML for Population-Level Donor Intent Prediction</w:t>
      </w:r>
    </w:p>
    <w:p>
      <w:pPr>
        <w:spacing w:after="200" w:before="0" w:line="370" w:lineRule="auto"/>
        <w:jc w:val="both"/>
      </w:pPr>
      <w:r>
        <w:rPr>
          <w:rFonts w:ascii="Arial" w:cs="Arial" w:eastAsia="Arial" w:hAnsi="Arial"/>
          <w:b w:val="false"/>
          <w:bCs w:val="false"/>
          <w:color w:val="0F1E2E"/>
          <w:sz w:val="22"/>
          <w:szCs w:val="22"/>
        </w:rPr>
        <w:t xml:space="preserve">A 2023 study from the London School of Hygiene and Tropical Medicine applied a random forest machine learning model to eight waves of national survey data collected from 14,278 respondents (2017–2021) to identify the key predictors of public intentions to become living kidney donors in England (Boadu et al., 2023, Frontiers in Public Health). The random forest model, which allows for complex interactions between demographic and attitudinal characteristics, identified variables that simple regression models miss — including interaction effects between age, health beliefs, prior donation experience, and community trust factors. The study's methodology provides the direct scientific basis for Project Donor-Flow's Stage 1 Predictive Donor Mapping: the same random forest approach, applied to U.S. public health data, OPTN state profiles, and USRDS ESRD burden statistics, generates the geographic and demographic targeting intelligence that focuses awareness and outreach resources where they will produce the highest yield.</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Boadu et al. (2023) study is also notable for what it found about the predictors of donation intent: statistical presentations about organ donation and communications emphasizing the 'meaningfulness' of donation were the content types most likely to prompt expressed intent. This is an AI-actionable finding: campaign content type can be optimized by the same ML system that identifies target audiences, ensuring that high-intent populations receive the message formats most likely to activate inquiry. This is precision public health applied to organ donation at a level of sophistication that no current outreach program achieves without AI support.</w:t>
      </w:r>
    </w:p>
    <w:p>
      <w:pPr>
        <w:spacing w:after="80" w:before="0"/>
      </w:pPr>
    </w:p>
    <w:p>
      <w:pPr>
        <w:pStyle w:val="Heading2"/>
        <w:spacing w:after="80" w:before="320"/>
      </w:pPr>
      <w:r>
        <w:rPr>
          <w:rFonts w:ascii="Arial" w:cs="Arial" w:eastAsia="Arial" w:hAnsi="Arial"/>
          <w:b/>
          <w:bCs/>
          <w:color w:val="006B61"/>
          <w:sz w:val="25"/>
          <w:szCs w:val="25"/>
        </w:rPr>
        <w:t xml:space="preserve">2.5  AI for Donor Evaluation Risk Stratification</w:t>
      </w:r>
    </w:p>
    <w:p>
      <w:pPr>
        <w:spacing w:after="200" w:before="0" w:line="370" w:lineRule="auto"/>
        <w:jc w:val="both"/>
      </w:pPr>
      <w:r>
        <w:rPr>
          <w:rFonts w:ascii="Arial" w:cs="Arial" w:eastAsia="Arial" w:hAnsi="Arial"/>
          <w:b w:val="false"/>
          <w:bCs w:val="false"/>
          <w:color w:val="0F1E2E"/>
          <w:sz w:val="22"/>
          <w:szCs w:val="22"/>
        </w:rPr>
        <w:t xml:space="preserve">Beyond outreach, AI has demonstrated documented utility in the clinical evaluation phase. A 2023 study published in Scientific Reports (Sauthier et al., 2023) developed an automated organ donor screening system using a temporal neural network model applied to routinely collected clinical and laboratory data, demonstrating that machine learning models could achieve robust accuracy across donor subgroups in prospective simulation — supporting AI-based donor identification as a complement to manual clinical screening. While this study focused on deceased donor screening, its methodological validation of ML-based automated clinical screening directly informs Project Donor-Flow's Stage 4 automated clinical pre-screen architecture.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For living donor evaluation specifically, the Nawar et al. (2026) review documents that 'convolutional neural networks have already been applied effectively in image-based LKD prediction tasks' and that 'language modeling has exploded as one of the most popular areas in the field of AI' for text-based tasks in LKD including 'donor outreach and communication.' The review identifies ChatGPT as showing 'promise' for several LKD text-classification tasks, while noting that model selection should balance predictive accuracy with interpretability requirements for clinical settings. The clinical relevance of this observation for Project Donor-Flow is direct: the AI tools deployed at each stage of the pipeline are selected for the specific requirements of that stage — transformer models for the nuanced text classification of psychosocial assessment and social media monitoring, simpler ML models for clinical risk stratification where interpretability is a regulatory requirement, and geospatial models for population mapping where geographic complexity demands non-linear pattern recognition.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practical integration of these distinct AI methodologies into a single operational framework is what distinguishes Project Donor-Flow from any individual published study. Each study in the Nawar et al. (2026) review addresses a single component of the pipeline: social media classification, or dropout risk prediction, or clinical risk stratification, or post-donation outcome modeling. No published study integrates all of these components into a unified system with a shared data model, a continuous Closed-Loop Refinement mechanism, and a standardized national benchmarking infrastructure. That integration is the contribution of this white paper — and it is precisely the integration that produces the compounding improvement effect that individual component studies cannot demonstrate. When the social media NLP at Stage 2 generates higher-quality leads that feed into a DRS routing system at Stage 3 that has been calibrated on the FHIR clinical data pre-populated at Stage 4, the performance of each stage is enhanced by the performance of the stages before it. This is not additive improvement; it is multiplicative. And it is available only through the integrated architecture that Project Donor-Flow provides.</w:t>
      </w:r>
    </w:p>
    <w:p>
      <w:r>
        <w:br w:type="page"/>
      </w:r>
    </w:p>
    <w:p>
      <w:pPr>
        <w:pStyle w:val="Heading1"/>
        <w:spacing w:after="60" w:before="520"/>
      </w:pPr>
      <w:r>
        <w:rPr>
          <w:rFonts w:ascii="Arial" w:cs="Arial" w:eastAsia="Arial" w:hAnsi="Arial"/>
          <w:b/>
          <w:bCs/>
          <w:caps/>
          <w:color w:val="0F1E2E"/>
          <w:sz w:val="30"/>
          <w:szCs w:val="30"/>
        </w:rPr>
        <w:t xml:space="preserve">III.  THE PROJECT DONOR-FLOW AI ARCHITECTURE: END-TO-END INTELLIGENCE</w:t>
      </w:r>
    </w:p>
    <w:p>
      <w:pPr>
        <w:pBdr>
          <w:bottom w:val="single" w:color="006B61" w:sz="8" w:space="1"/>
        </w:pBdr>
        <w:spacing w:after="200" w:before="0"/>
      </w:pPr>
    </w:p>
    <w:p>
      <w:pPr>
        <w:spacing w:after="200" w:before="0" w:line="370" w:lineRule="auto"/>
        <w:jc w:val="both"/>
      </w:pPr>
      <w:r>
        <w:rPr>
          <w:rFonts w:ascii="Arial" w:cs="Arial" w:eastAsia="Arial" w:hAnsi="Arial"/>
          <w:b w:val="false"/>
          <w:bCs w:val="false"/>
          <w:color w:val="0F1E2E"/>
          <w:sz w:val="22"/>
          <w:szCs w:val="22"/>
        </w:rPr>
        <w:t xml:space="preserve">Project Donor-Flow organizes AI intervention across eight sequential pipeline stages — from pre-inquiry population identification to post-donation longitudinal monitoring — in a continuous, integrated architecture. Each stage deploys the specific AI tool most appropriate to its data type and decision requirements. Each stage has a defined human role: AI does not replace clinical judgment; it provides the information, pattern recognition, and automated support that makes clinical judgment both faster and better-informed. Every stage is grounded in published evidence.</w:t>
      </w:r>
    </w:p>
    <w:p>
      <w:pPr>
        <w:spacing w:after="120" w:before="0"/>
      </w:pPr>
    </w:p>
    <w:p>
      <w:pPr>
        <w:spacing w:after="160" w:before="80"/>
        <w:jc w:val="center"/>
      </w:pPr>
      <w:r>
        <w:rPr>
          <w:rFonts w:ascii="Arial" w:cs="Arial" w:eastAsia="Arial" w:hAnsi="Arial"/>
          <w:color w:val="5A6E82"/>
          <w:sz w:val="19"/>
          <w:szCs w:val="19"/>
        </w:rPr>
        <w:t xml:space="preserve">Figure 1: The Project Donor-Flow AI-Enabled Donor Pipeline—End-to-End Architecture from Population Identification to Post-Donation Monitoring
(Source: CIF Framework Analysis; Nawar et al., 2026; Al Awadhi et al., 2025; Boadu et al., 2023; ODTA, 2025; Lentine et al., 2021, 2025; Bossini et al., 2023)</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60"/>
        <w:gridCol w:w="1440"/>
        <w:gridCol w:w="1680"/>
        <w:gridCol w:w="1520"/>
        <w:gridCol w:w="1560"/>
        <w:gridCol w:w="1720"/>
      </w:tblGrid>
      <w:tr>
        <w:trPr>
          <w:tblHeader/>
        </w:trPr>
        <w:tc>
          <w:tcPr>
            <w:tcW w:type="dxa" w:w="48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w:t>
            </w:r>
          </w:p>
        </w:tc>
        <w:tc>
          <w:tcPr>
            <w:tcW w:type="dxa" w:w="96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Pipeline Stage</w:t>
            </w:r>
          </w:p>
        </w:tc>
        <w:tc>
          <w:tcPr>
            <w:tcW w:type="dxa" w:w="144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AI Tool / Technology</w:t>
            </w:r>
          </w:p>
        </w:tc>
        <w:tc>
          <w:tcPr>
            <w:tcW w:type="dxa" w:w="168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Data Inputs</w:t>
            </w:r>
          </w:p>
        </w:tc>
        <w:tc>
          <w:tcPr>
            <w:tcW w:type="dxa" w:w="152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AI Output &amp; Action</w:t>
            </w:r>
          </w:p>
        </w:tc>
        <w:tc>
          <w:tcPr>
            <w:tcW w:type="dxa" w:w="156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Human Role</w:t>
            </w:r>
          </w:p>
        </w:tc>
        <w:tc>
          <w:tcPr>
            <w:tcW w:type="dxa" w:w="172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Published Evidence</w:t>
            </w:r>
          </w:p>
        </w:tc>
      </w:tr>
      <w:tr>
        <w:tc>
          <w:tcPr>
            <w:tcW w:type="dxa" w:w="480"/>
            <w:tcBorders>
              <w:top w:val="single" w:color="C9D9E8" w:sz="4"/>
              <w:left w:val="single" w:color="C9D9E8" w:sz="4"/>
              <w:bottom w:val="single" w:color="C9D9E8" w:sz="4"/>
              <w:right w:val="single" w:color="C9D9E8" w:sz="4"/>
            </w:tcBorders>
            <w:shd w:fill="0F1E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960"/>
            <w:tcBorders>
              <w:top w:val="single" w:color="C9D9E8" w:sz="4"/>
              <w:left w:val="single" w:color="C9D9E8" w:sz="4"/>
              <w:bottom w:val="single" w:color="C9D9E8" w:sz="4"/>
              <w:right w:val="single" w:color="C9D9E8" w:sz="4"/>
            </w:tcBorders>
            <w:shd w:fill="1A3550" w:val="clear"/>
            <w:tcMar>
              <w:top w:type="dxa" w:w="80"/>
              <w:left w:type="dxa" w:w="130"/>
              <w:bottom w:type="dxa" w:w="80"/>
              <w:right w:type="dxa" w:w="130"/>
            </w:tcMar>
            <w:vAlign w:val="top"/>
          </w:tcPr>
          <w:p>
            <w:r>
              <w:rPr>
                <w:rFonts w:ascii="Arial" w:cs="Arial" w:eastAsia="Arial" w:hAnsi="Arial"/>
                <w:b/>
                <w:bCs/>
                <w:color w:val="FFFFFF"/>
                <w:sz w:val="19"/>
                <w:szCs w:val="19"/>
              </w:rPr>
              <w:t xml:space="preserve">PUBLIC POPULATION IDENTIFICATION</w:t>
            </w:r>
          </w:p>
        </w:tc>
        <w:tc>
          <w:tcPr>
            <w:tcW w:type="dxa" w:w="144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Random Forest / Geospatial ML Model</w:t>
            </w:r>
          </w:p>
        </w:tc>
        <w:tc>
          <w:tcPr>
            <w:tcW w:type="dxa" w:w="168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USRDS ESRD prevalence by ZIP; CDC Social Vulnerability Index; OPTN state donation rates; demographic census data; insurance status by county</w:t>
            </w:r>
          </w:p>
        </w:tc>
        <w:tc>
          <w:tcPr>
            <w:tcW w:type="dxa" w:w="152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Generates ranked geographic target map: identifies communities with highest ESRD burden, lowest LDKT rates, and highest demographic suitability for outreach investment</w:t>
            </w:r>
          </w:p>
        </w:tc>
        <w:tc>
          <w:tcPr>
            <w:tcW w:type="dxa" w:w="156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Public health strategists review AI heat map; approve outreach channel allocation; brief community health partners</w:t>
            </w:r>
          </w:p>
        </w:tc>
        <w:tc>
          <w:tcPr>
            <w:tcW w:type="dxa" w:w="172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Boadu et al. (2023) applied random forest ML to 14,278 survey respondents and identified key predictors of living donor intent, providing a blueprint for population-level AI targeting</w:t>
            </w:r>
          </w:p>
        </w:tc>
      </w:tr>
      <w:tr>
        <w:tc>
          <w:tcPr>
            <w:tcW w:type="dxa" w:w="480"/>
            <w:tcBorders>
              <w:top w:val="single" w:color="C9D9E8" w:sz="4"/>
              <w:left w:val="single" w:color="C9D9E8" w:sz="4"/>
              <w:bottom w:val="single" w:color="C9D9E8" w:sz="4"/>
              <w:right w:val="single" w:color="C9D9E8" w:sz="4"/>
            </w:tcBorders>
            <w:shd w:fill="0F1E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960"/>
            <w:tcBorders>
              <w:top w:val="single" w:color="C9D9E8" w:sz="4"/>
              <w:left w:val="single" w:color="C9D9E8" w:sz="4"/>
              <w:bottom w:val="single" w:color="C9D9E8" w:sz="4"/>
              <w:right w:val="single" w:color="C9D9E8" w:sz="4"/>
            </w:tcBorders>
            <w:shd w:fill="1A3550" w:val="clear"/>
            <w:tcMar>
              <w:top w:type="dxa" w:w="80"/>
              <w:left w:type="dxa" w:w="130"/>
              <w:bottom w:type="dxa" w:w="80"/>
              <w:right w:type="dxa" w:w="130"/>
            </w:tcMar>
            <w:vAlign w:val="top"/>
          </w:tcPr>
          <w:p>
            <w:r>
              <w:rPr>
                <w:rFonts w:ascii="Arial" w:cs="Arial" w:eastAsia="Arial" w:hAnsi="Arial"/>
                <w:b/>
                <w:bCs/>
                <w:color w:val="FFFFFF"/>
                <w:sz w:val="19"/>
                <w:szCs w:val="19"/>
              </w:rPr>
              <w:t xml:space="preserve">AWARENESS CAMPAIGN DELIVERY &amp; SOCIAL LISTENING</w:t>
            </w:r>
          </w:p>
        </w:tc>
        <w:tc>
          <w:tcPr>
            <w:tcW w:type="dxa" w:w="144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NLP Classifier / Social Media ML Monitor</w:t>
            </w:r>
          </w:p>
        </w:tc>
        <w:tc>
          <w:tcPr>
            <w:tcW w:type="dxa" w:w="168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Twitter/X, Reddit, Facebook posts mentioning kidney donation, dialysis, transplant; engagement metrics; sentiment signals</w:t>
            </w:r>
          </w:p>
        </w:tc>
        <w:tc>
          <w:tcPr>
            <w:tcW w:type="dxa" w:w="152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Classifies social media posts into: Curious Potential Donor | Barrier-Expressing | Emotionally Motivated | Already Aware but Inactive. Flags highest-intent individuals for targeted educational outreach</w:t>
            </w:r>
          </w:p>
        </w:tc>
        <w:tc>
          <w:tcPr>
            <w:tcW w:type="dxa" w:w="156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Creative/outreach team designs channel-specific messaging; campaign deployed to AI-identified high-intent audiences</w:t>
            </w:r>
          </w:p>
        </w:tc>
        <w:tc>
          <w:tcPr>
            <w:tcW w:type="dxa" w:w="172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Nawar et al. (2026, Frontiers Transplant) document NLP classification of living donor social media posts as foundation for automated identification of curious pre-inquiry donors. ODTA (2025) digital campaign reached 121,000; AI profiling produced 1,400 evaluation starts</w:t>
            </w:r>
          </w:p>
        </w:tc>
      </w:tr>
      <w:tr>
        <w:tc>
          <w:tcPr>
            <w:tcW w:type="dxa" w:w="480"/>
            <w:tcBorders>
              <w:top w:val="single" w:color="C9D9E8" w:sz="4"/>
              <w:left w:val="single" w:color="C9D9E8" w:sz="4"/>
              <w:bottom w:val="single" w:color="C9D9E8" w:sz="4"/>
              <w:right w:val="single" w:color="C9D9E8" w:sz="4"/>
            </w:tcBorders>
            <w:shd w:fill="0F1E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960"/>
            <w:tcBorders>
              <w:top w:val="single" w:color="C9D9E8" w:sz="4"/>
              <w:left w:val="single" w:color="C9D9E8" w:sz="4"/>
              <w:bottom w:val="single" w:color="C9D9E8" w:sz="4"/>
              <w:right w:val="single" w:color="C9D9E8" w:sz="4"/>
            </w:tcBorders>
            <w:shd w:fill="1A3550" w:val="clear"/>
            <w:tcMar>
              <w:top w:type="dxa" w:w="80"/>
              <w:left w:type="dxa" w:w="130"/>
              <w:bottom w:type="dxa" w:w="80"/>
              <w:right w:type="dxa" w:w="130"/>
            </w:tcMar>
            <w:vAlign w:val="top"/>
          </w:tcPr>
          <w:p>
            <w:r>
              <w:rPr>
                <w:rFonts w:ascii="Arial" w:cs="Arial" w:eastAsia="Arial" w:hAnsi="Arial"/>
                <w:b/>
                <w:bCs/>
                <w:color w:val="FFFFFF"/>
                <w:sz w:val="19"/>
                <w:szCs w:val="19"/>
              </w:rPr>
              <w:t xml:space="preserve">FIRST CONTACT &amp; INTELLIGENT INTAKE</w:t>
            </w:r>
          </w:p>
        </w:tc>
        <w:tc>
          <w:tcPr>
            <w:tcW w:type="dxa" w:w="144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NLU Conversational AI / Donor Readiness Score Engine</w:t>
            </w:r>
          </w:p>
        </w:tc>
        <w:tc>
          <w:tcPr>
            <w:tcW w:type="dxa" w:w="168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Donor-submitted text/audio; prior engagement data; EHR pre-screen if available; financial and logistical signals in conversation</w:t>
            </w:r>
          </w:p>
        </w:tc>
        <w:tc>
          <w:tcPr>
            <w:tcW w:type="dxa" w:w="152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DRS = w₁(Clinical) + w₂(Psychosocial) + w₃(Financial) + w₄(Logistical). Routes: High DRS (≥70) → Fast-Track; Mid DRS (40-69) → Standard+Support; Low DRS (&lt;40) → Support Priority</w:t>
            </w:r>
          </w:p>
        </w:tc>
        <w:tc>
          <w:tcPr>
            <w:tcW w:type="dxa" w:w="156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AI handles initial triage 24/7; human coordinator engages only when DRS threshold or clinical flag warrants personal contact</w:t>
            </w:r>
          </w:p>
        </w:tc>
        <w:tc>
          <w:tcPr>
            <w:tcW w:type="dxa" w:w="172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Houston Methodist (Al Awadhi et al., 2025, Clinical Transplantation) validated ML risk indices predicting dropout during referral and evaluation; only 40% of patients completed evaluation within 12 months without AI intervention</w:t>
            </w:r>
          </w:p>
        </w:tc>
      </w:tr>
      <w:tr>
        <w:tc>
          <w:tcPr>
            <w:tcW w:type="dxa" w:w="480"/>
            <w:tcBorders>
              <w:top w:val="single" w:color="C9D9E8" w:sz="4"/>
              <w:left w:val="single" w:color="C9D9E8" w:sz="4"/>
              <w:bottom w:val="single" w:color="C9D9E8" w:sz="4"/>
              <w:right w:val="single" w:color="C9D9E8" w:sz="4"/>
            </w:tcBorders>
            <w:shd w:fill="0F1E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960"/>
            <w:tcBorders>
              <w:top w:val="single" w:color="C9D9E8" w:sz="4"/>
              <w:left w:val="single" w:color="C9D9E8" w:sz="4"/>
              <w:bottom w:val="single" w:color="C9D9E8" w:sz="4"/>
              <w:right w:val="single" w:color="C9D9E8" w:sz="4"/>
            </w:tcBorders>
            <w:shd w:fill="1A3550" w:val="clear"/>
            <w:tcMar>
              <w:top w:type="dxa" w:w="80"/>
              <w:left w:type="dxa" w:w="130"/>
              <w:bottom w:type="dxa" w:w="80"/>
              <w:right w:type="dxa" w:w="130"/>
            </w:tcMar>
            <w:vAlign w:val="top"/>
          </w:tcPr>
          <w:p>
            <w:r>
              <w:rPr>
                <w:rFonts w:ascii="Arial" w:cs="Arial" w:eastAsia="Arial" w:hAnsi="Arial"/>
                <w:b/>
                <w:bCs/>
                <w:color w:val="FFFFFF"/>
                <w:sz w:val="19"/>
                <w:szCs w:val="19"/>
              </w:rPr>
              <w:t xml:space="preserve">AUTOMATED CLINICAL PRE-SCREEN</w:t>
            </w:r>
          </w:p>
        </w:tc>
        <w:tc>
          <w:tcPr>
            <w:tcW w:type="dxa" w:w="144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FHIR API Integration + ML Clinical Risk Classifier</w:t>
            </w:r>
          </w:p>
        </w:tc>
        <w:tc>
          <w:tcPr>
            <w:tcW w:type="dxa" w:w="168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EHR data via FHIR (mandated by 21st Century Cures Act 2020); BMI, GFR, BP, comorbidities; lab values; medication lists</w:t>
            </w:r>
          </w:p>
        </w:tc>
        <w:tc>
          <w:tcPr>
            <w:tcW w:type="dxa" w:w="152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Pre-populates donor clinical profile before first in-person visit; ML classifier flags modifiable risk factors; auto-generates protocol triggers (Metabolic, Anatomical Risk) with specific clinical targets embedded</w:t>
            </w:r>
          </w:p>
        </w:tc>
        <w:tc>
          <w:tcPr>
            <w:tcW w:type="dxa" w:w="156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Clinician receives pre-populated record and AI risk summary; reviews flags; confirms or overrides protocol activations</w:t>
            </w:r>
          </w:p>
        </w:tc>
        <w:tc>
          <w:tcPr>
            <w:tcW w:type="dxa" w:w="172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Bossini et al. (2023, BMC Nephrology) LSS DMAIC application: streamlined evaluation including record automation reduced lead time from 293 to 166 days (-43%) and pre-emptive donor loss from 44% to 27%</w:t>
            </w:r>
          </w:p>
        </w:tc>
      </w:tr>
      <w:tr>
        <w:tc>
          <w:tcPr>
            <w:tcW w:type="dxa" w:w="480"/>
            <w:tcBorders>
              <w:top w:val="single" w:color="C9D9E8" w:sz="4"/>
              <w:left w:val="single" w:color="C9D9E8" w:sz="4"/>
              <w:bottom w:val="single" w:color="C9D9E8" w:sz="4"/>
              <w:right w:val="single" w:color="C9D9E8" w:sz="4"/>
            </w:tcBorders>
            <w:shd w:fill="0F1E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960"/>
            <w:tcBorders>
              <w:top w:val="single" w:color="C9D9E8" w:sz="4"/>
              <w:left w:val="single" w:color="C9D9E8" w:sz="4"/>
              <w:bottom w:val="single" w:color="C9D9E8" w:sz="4"/>
              <w:right w:val="single" w:color="C9D9E8" w:sz="4"/>
            </w:tcBorders>
            <w:shd w:fill="1A3550" w:val="clear"/>
            <w:tcMar>
              <w:top w:type="dxa" w:w="80"/>
              <w:left w:type="dxa" w:w="130"/>
              <w:bottom w:type="dxa" w:w="80"/>
              <w:right w:type="dxa" w:w="130"/>
            </w:tcMar>
            <w:vAlign w:val="top"/>
          </w:tcPr>
          <w:p>
            <w:r>
              <w:rPr>
                <w:rFonts w:ascii="Arial" w:cs="Arial" w:eastAsia="Arial" w:hAnsi="Arial"/>
                <w:b/>
                <w:bCs/>
                <w:color w:val="FFFFFF"/>
                <w:sz w:val="19"/>
                <w:szCs w:val="19"/>
              </w:rPr>
              <w:t xml:space="preserve">ADAPTIVE PSYCHOSOCIAL SCREENING</w:t>
            </w:r>
          </w:p>
        </w:tc>
        <w:tc>
          <w:tcPr>
            <w:tcW w:type="dxa" w:w="144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Transformer-Based Adaptive Assessment / Sentiment Analysis Engine</w:t>
            </w:r>
          </w:p>
        </w:tc>
        <w:tc>
          <w:tcPr>
            <w:tcW w:type="dxa" w:w="168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Real-time donor responses to AAS and CRI; hesitation patterns; response latency; language complexity signals; prior communication sentiment trend</w:t>
            </w:r>
          </w:p>
        </w:tc>
        <w:tc>
          <w:tcPr>
            <w:tcW w:type="dxa" w:w="152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AAS and CRI administered adaptively (questions reshape in real time); sentiment analysis flags coercion risk, financial anxiety, psychiatric indicators; outputs psychosocial risk profile and recommended support protocol activation</w:t>
            </w:r>
          </w:p>
        </w:tc>
        <w:tc>
          <w:tcPr>
            <w:tcW w:type="dxa" w:w="156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Psychosocial professional receives AI-generated Donor Passport before interaction; uses pre-identified concerns as basis for targeted support rather than discovery</w:t>
            </w:r>
          </w:p>
        </w:tc>
        <w:tc>
          <w:tcPr>
            <w:tcW w:type="dxa" w:w="172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Nawar et al. (2026) document transformer/LLM applications to donor communication; Mader et al. (2024, BMC Nephrology) multivariate analysis confirms psychiatric history and Black race as independent predictors of non-approval; early AI identification enables support rather than disqualification</w:t>
            </w:r>
          </w:p>
        </w:tc>
      </w:tr>
      <w:tr>
        <w:tc>
          <w:tcPr>
            <w:tcW w:type="dxa" w:w="480"/>
            <w:tcBorders>
              <w:top w:val="single" w:color="C9D9E8" w:sz="4"/>
              <w:left w:val="single" w:color="C9D9E8" w:sz="4"/>
              <w:bottom w:val="single" w:color="C9D9E8" w:sz="4"/>
              <w:right w:val="single" w:color="C9D9E8" w:sz="4"/>
            </w:tcBorders>
            <w:shd w:fill="0F1E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960"/>
            <w:tcBorders>
              <w:top w:val="single" w:color="C9D9E8" w:sz="4"/>
              <w:left w:val="single" w:color="C9D9E8" w:sz="4"/>
              <w:bottom w:val="single" w:color="C9D9E8" w:sz="4"/>
              <w:right w:val="single" w:color="C9D9E8" w:sz="4"/>
            </w:tcBorders>
            <w:shd w:fill="1A3550" w:val="clear"/>
            <w:tcMar>
              <w:top w:type="dxa" w:w="80"/>
              <w:left w:type="dxa" w:w="130"/>
              <w:bottom w:type="dxa" w:w="80"/>
              <w:right w:type="dxa" w:w="130"/>
            </w:tcMar>
            <w:vAlign w:val="top"/>
          </w:tcPr>
          <w:p>
            <w:r>
              <w:rPr>
                <w:rFonts w:ascii="Arial" w:cs="Arial" w:eastAsia="Arial" w:hAnsi="Arial"/>
                <w:b/>
                <w:bCs/>
                <w:color w:val="FFFFFF"/>
                <w:sz w:val="19"/>
                <w:szCs w:val="19"/>
              </w:rPr>
              <w:t xml:space="preserve">CONCIERGE SUPPORT TRACK MANAGEMENT</w:t>
            </w:r>
          </w:p>
        </w:tc>
        <w:tc>
          <w:tcPr>
            <w:tcW w:type="dxa" w:w="144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Predictive Retention ML / Velocity Monitoring Engine</w:t>
            </w:r>
          </w:p>
        </w:tc>
        <w:tc>
          <w:tcPr>
            <w:tcW w:type="dxa" w:w="168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Communication frequency; DRS trend (30-day rolling); support protocol outcomes; NLDAC application status; peer support engagement data; appointment adherence</w:t>
            </w:r>
          </w:p>
        </w:tc>
        <w:tc>
          <w:tcPr>
            <w:tcW w:type="dxa" w:w="152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Velocity Monitoring detects stall patterns (&lt;defined threshold); auto-initiates tiered outreach response: Day 1 personalized message; Day 3 coordinator alert with Donor Passport brief; Day 7 psychosocial escalation. Financial Advocacy: auto-populates NLDAC applications; maps state reimbursement availability</w:t>
            </w:r>
          </w:p>
        </w:tc>
        <w:tc>
          <w:tcPr>
            <w:tcW w:type="dxa" w:w="156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Coordinator receives velocity alert with specific context; engages donor with AI-provided brief rather than cold contact; escalates to psychosocial team with full Donor Passport</w:t>
            </w:r>
          </w:p>
        </w:tc>
        <w:tc>
          <w:tcPr>
            <w:tcW w:type="dxa" w:w="172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ODTA (2025) human-technology co-care model: AI identifies high-risk dropout patients early; enables tailored interventions. 15.2% of LDCPR candidates withdrew before any decision (Lentine et al., 2021) — Velocity Monitoring directly targets this preventable attrition</w:t>
            </w:r>
          </w:p>
        </w:tc>
      </w:tr>
      <w:tr>
        <w:tc>
          <w:tcPr>
            <w:tcW w:type="dxa" w:w="480"/>
            <w:tcBorders>
              <w:top w:val="single" w:color="C9D9E8" w:sz="4"/>
              <w:left w:val="single" w:color="C9D9E8" w:sz="4"/>
              <w:bottom w:val="single" w:color="C9D9E8" w:sz="4"/>
              <w:right w:val="single" w:color="C9D9E8" w:sz="4"/>
            </w:tcBorders>
            <w:shd w:fill="0F1E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960"/>
            <w:tcBorders>
              <w:top w:val="single" w:color="C9D9E8" w:sz="4"/>
              <w:left w:val="single" w:color="C9D9E8" w:sz="4"/>
              <w:bottom w:val="single" w:color="C9D9E8" w:sz="4"/>
              <w:right w:val="single" w:color="C9D9E8" w:sz="4"/>
            </w:tcBorders>
            <w:shd w:fill="1A3550" w:val="clear"/>
            <w:tcMar>
              <w:top w:type="dxa" w:w="80"/>
              <w:left w:type="dxa" w:w="130"/>
              <w:bottom w:type="dxa" w:w="80"/>
              <w:right w:type="dxa" w:w="130"/>
            </w:tcMar>
            <w:vAlign w:val="top"/>
          </w:tcPr>
          <w:p>
            <w:r>
              <w:rPr>
                <w:rFonts w:ascii="Arial" w:cs="Arial" w:eastAsia="Arial" w:hAnsi="Arial"/>
                <w:b/>
                <w:bCs/>
                <w:color w:val="FFFFFF"/>
                <w:sz w:val="19"/>
                <w:szCs w:val="19"/>
              </w:rPr>
              <w:t xml:space="preserve">MULTI-DISCIPLINARY BOARD REVIEW &amp; APPROVAL</w:t>
            </w:r>
          </w:p>
        </w:tc>
        <w:tc>
          <w:tcPr>
            <w:tcW w:type="dxa" w:w="144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AI Decision-Support Dashboard / Audit Trail Generator</w:t>
            </w:r>
          </w:p>
        </w:tc>
        <w:tc>
          <w:tcPr>
            <w:tcW w:type="dxa" w:w="168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Complete DRS history; clinical record; psychosocial profile; support protocol log; velocity trend; financial status; peer support engagement; all protocol activation records</w:t>
            </w:r>
          </w:p>
        </w:tc>
        <w:tc>
          <w:tcPr>
            <w:tcW w:type="dxa" w:w="152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Generates unified MDT Decision Dashboard: synthesizes all AI and human inputs into a structured evidence package; flags any open protocol; documents standardized audit trail for every decision; identifies inter-center BMI threshold variation for equity review</w:t>
            </w:r>
          </w:p>
        </w:tc>
        <w:tc>
          <w:tcPr>
            <w:tcW w:type="dxa" w:w="156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MDT board reviews AI-synthesized evidence package; makes final approval or conditional approval decision; all decisions logged with rationale</w:t>
            </w:r>
          </w:p>
        </w:tc>
        <w:tc>
          <w:tcPr>
            <w:tcW w:type="dxa" w:w="172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LDCPR documents BMI thresholds varying ≥30 to ≥35 across programs (Lentine et al., 2021) — AI-standardized decision support eliminates inequitable variation. Ruck et al. (2025) document emotional impact of denial; standardized communication protocols improve experience</w:t>
            </w:r>
          </w:p>
        </w:tc>
      </w:tr>
      <w:tr>
        <w:tc>
          <w:tcPr>
            <w:tcW w:type="dxa" w:w="480"/>
            <w:tcBorders>
              <w:top w:val="single" w:color="C9D9E8" w:sz="4"/>
              <w:left w:val="single" w:color="C9D9E8" w:sz="4"/>
              <w:bottom w:val="single" w:color="C9D9E8" w:sz="4"/>
              <w:right w:val="single" w:color="C9D9E8" w:sz="4"/>
            </w:tcBorders>
            <w:shd w:fill="0F1E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960"/>
            <w:tcBorders>
              <w:top w:val="single" w:color="C9D9E8" w:sz="4"/>
              <w:left w:val="single" w:color="C9D9E8" w:sz="4"/>
              <w:bottom w:val="single" w:color="C9D9E8" w:sz="4"/>
              <w:right w:val="single" w:color="C9D9E8" w:sz="4"/>
            </w:tcBorders>
            <w:shd w:fill="1A3550" w:val="clear"/>
            <w:tcMar>
              <w:top w:type="dxa" w:w="80"/>
              <w:left w:type="dxa" w:w="130"/>
              <w:bottom w:type="dxa" w:w="80"/>
              <w:right w:type="dxa" w:w="130"/>
            </w:tcMar>
            <w:vAlign w:val="top"/>
          </w:tcPr>
          <w:p>
            <w:r>
              <w:rPr>
                <w:rFonts w:ascii="Arial" w:cs="Arial" w:eastAsia="Arial" w:hAnsi="Arial"/>
                <w:b/>
                <w:bCs/>
                <w:color w:val="FFFFFF"/>
                <w:sz w:val="19"/>
                <w:szCs w:val="19"/>
              </w:rPr>
              <w:t xml:space="preserve">POST-DONATION LONGITUDINAL MONITORING</w:t>
            </w:r>
          </w:p>
        </w:tc>
        <w:tc>
          <w:tcPr>
            <w:tcW w:type="dxa" w:w="144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Time-Series ML / Longitudinal Outcome Predictive Model</w:t>
            </w:r>
          </w:p>
        </w:tc>
        <w:tc>
          <w:tcPr>
            <w:tcW w:type="dxa" w:w="168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Post-donation renal function trajectory; blood pressure; quality-of-life survey data; psychosocial adjustment indicators; medication adherence signals; 6/12/24-month OPTN follow-up data</w:t>
            </w:r>
          </w:p>
        </w:tc>
        <w:tc>
          <w:tcPr>
            <w:tcW w:type="dxa" w:w="152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Continuous analysis of renal function and psychosocial adjustment; early warning signal detection (pre-complication pattern recognition weeks before clinical event); outputs updated DRS model weights for future screening; feeds National Donor Velocity Benchmark</w:t>
            </w:r>
          </w:p>
        </w:tc>
        <w:tc>
          <w:tcPr>
            <w:tcW w:type="dxa" w:w="156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Clinical team receives early warning alerts; intervenes proactively; contributes to evidence base via Closed-Loop Refinement; OPTN compliance monitoring automated</w:t>
            </w:r>
          </w:p>
        </w:tc>
        <w:tc>
          <w:tcPr>
            <w:tcW w:type="dxa" w:w="172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Clifton et al. (2024) document OPTN follow-up requirements as insufficient for psychosocial monitoring; KDIGO calls for systematic psychosocial wellbeing data. AI post-donation monitoring addresses both gaps simultaneously</w:t>
            </w:r>
          </w:p>
        </w:tc>
      </w:tr>
    </w:tbl>
    <w:p>
      <w:pPr>
        <w:spacing w:after="100" w:before="0"/>
      </w:pPr>
    </w:p>
    <w:p>
      <w:pPr>
        <w:spacing w:after="120" w:before="0" w:line="320" w:lineRule="auto"/>
        <w:jc w:val="both"/>
      </w:pPr>
      <w:r>
        <w:rPr>
          <w:rFonts w:ascii="Arial" w:cs="Arial" w:eastAsia="Arial" w:hAnsi="Arial"/>
          <w:color w:val="5A6E82"/>
          <w:sz w:val="19"/>
          <w:szCs w:val="19"/>
        </w:rPr>
        <w:t xml:space="preserve">DRS = Donor Readiness Score. AAS = Altruism Assessment Scale. CRI = Coercion Risk Inventory. FHIR = Fast Healthcare Interoperability Resources. NLU = Natural Language Understanding. NLP = Natural Language Processing. ML = Machine Learning. NLDAC = National Living Donor Assistance Center. MDT = Multi-Disciplinary Team. SVI = Social Vulnerability Index.</w:t>
      </w:r>
    </w:p>
    <w:p>
      <w:pPr>
        <w:spacing w:after="80" w:before="0"/>
      </w:pPr>
    </w:p>
    <w:p>
      <w:pPr>
        <w:pStyle w:val="Heading2"/>
        <w:spacing w:after="80" w:before="320"/>
      </w:pPr>
      <w:r>
        <w:rPr>
          <w:rFonts w:ascii="Arial" w:cs="Arial" w:eastAsia="Arial" w:hAnsi="Arial"/>
          <w:b/>
          <w:bCs/>
          <w:color w:val="006B61"/>
          <w:sz w:val="25"/>
          <w:szCs w:val="25"/>
        </w:rPr>
        <w:t xml:space="preserve">3.1  Stage 1: AI-Driven Population Identification — Intelligence Before Outreach</w:t>
      </w:r>
    </w:p>
    <w:p>
      <w:pPr>
        <w:spacing w:after="200" w:before="0" w:line="370" w:lineRule="auto"/>
        <w:jc w:val="both"/>
      </w:pPr>
      <w:r>
        <w:rPr>
          <w:rFonts w:ascii="Arial" w:cs="Arial" w:eastAsia="Arial" w:hAnsi="Arial"/>
          <w:b w:val="false"/>
          <w:bCs w:val="false"/>
          <w:color w:val="0F1E2E"/>
          <w:sz w:val="22"/>
          <w:szCs w:val="22"/>
        </w:rPr>
        <w:t xml:space="preserve">The living donor crisis is, in part, an intelligence problem at the community level. Transplant programs do not know, with geographic precision, where potential donors are most likely to be found, where the unmet need is greatest, or how to allocate limited outreach resources to maximize yield. The current model is essentially uniform: national campaigns, generalized messaging, and hope that motivated individuals self-identify. AI replaces this approach with geospatial predictive modeling.</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Project Donor-Flow's Stage 1 deploys a random forest ML model trained on five primary data inputs: USRDS ESRD prevalence by ZIP code and county; CDC Social Vulnerability Index scores by census tract; OPTN state and OPO region living donor rates (2019–2023); demographic census data including age distribution, household income, and educational attainment; and AKF Living Donor Protection legislative grades by state. The model generates a ranked geographic targeting map — a visual and data output that identifies the ZIP codes, counties, and communities where the intersection of highest ESRD burden, lowest current living donor rates, and highest community suitability for outreach investment produces the greatest predicted return on awareness resources.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scientific basis for this approach was validated by Boadu et al. (2023), whose random forest analysis of 14,278 survey respondents identified the complex interactions between demographic characteristics, health beliefs, and community trust factors that predict living donor intent. The same model architecture, re-trained on U.S. data, generates the geographic intelligence that makes Project Donor-Flow's awareness investment precision rather than broadcast. A billboard campaign in Jackson, Mississippi, guided by Stage 1 AI targeting, does not appear on a randomly selected highway; it appears at the specific community health center, faith institution, or HBCU-affiliated location that the ML model identifies as having the highest concentration of individuals whose demographic and health belief profiles predict elevated donation intent among the populations most underrepresented in current LDKT rates.</w:t>
      </w:r>
    </w:p>
    <w:p>
      <w:pPr>
        <w:spacing w:after="80" w:before="0"/>
      </w:pPr>
    </w:p>
    <w:p>
      <w:pPr>
        <w:pStyle w:val="Heading2"/>
        <w:spacing w:after="80" w:before="320"/>
      </w:pPr>
      <w:r>
        <w:rPr>
          <w:rFonts w:ascii="Arial" w:cs="Arial" w:eastAsia="Arial" w:hAnsi="Arial"/>
          <w:b/>
          <w:bCs/>
          <w:color w:val="006B61"/>
          <w:sz w:val="25"/>
          <w:szCs w:val="25"/>
        </w:rPr>
        <w:t xml:space="preserve">3.2  Stage 2: Social Media Intelligence — Listening Before Speaking</w:t>
      </w:r>
    </w:p>
    <w:p>
      <w:pPr>
        <w:spacing w:after="200" w:before="0" w:line="370" w:lineRule="auto"/>
        <w:jc w:val="both"/>
      </w:pPr>
      <w:r>
        <w:rPr>
          <w:rFonts w:ascii="Arial" w:cs="Arial" w:eastAsia="Arial" w:hAnsi="Arial"/>
          <w:b w:val="false"/>
          <w:bCs w:val="false"/>
          <w:color w:val="0F1E2E"/>
          <w:sz w:val="22"/>
          <w:szCs w:val="22"/>
        </w:rPr>
        <w:t xml:space="preserve">Before any direct outreach, Project Donor-Flow's Stage 2 NLP monitor is already listening. The system continuously analyzes publicly available social media communications — on Twitter/X, Reddit, Facebook, and donation-focused community platforms — for signals of living donor interest, barrier expression, emotional motivation, and intent. The classification model, built on the methodology validated by the Waterman lab's 2022 JMIR study and the subsequent 2025 ChatGPT Reddit analysis, categorizes every flagged communication into one of four profiles: Curious Potential Donor (expressing interest without having inquired), Barrier-Expressing Individual (interested but articulating specific impediments), Emotionally Motivated Individual (recently motivated by a personal experience with kidney disease), and Already Aware but Inactive (previously expressed intent but not recently engaged).</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Each profile generates a different outreach response. Curious Potential Donors receive targeted educational content matched to the specific questions they have expressed. Barrier-Expressing Individuals receive content specifically addressing their identified barrier — financial resources for those expressing cost concerns, simplified process explanations for those expressing logistical overwhelm, risk communication materials for those expressing health concerns. Emotionally Motivated Individuals receive content that honors their emotional experience and provides an immediate, low-friction pathway to inquiry. Already Aware but Inactive individuals receive re-engagement content that removes whatever barrier prevented initial action.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This is not mass messaging. It is individual-level signal processing that converts the ambient social media conversation about living donation — which is ongoing, substantial, and currently unmonitored by any systematic transplant program infrastructure — into a precision outreach instrument. The Waterman lab's research goal was explicit: 'to develop a streamlined, automated process for pinpointing curious, motivated potential donors who have not yet presented to the transplant center' (Nawar et al., 2026). Project Donor-Flow implements exactly that process at operational scale.</w:t>
      </w:r>
    </w:p>
    <w:p>
      <w:pPr>
        <w:spacing w:after="80" w:before="0"/>
      </w:pPr>
    </w:p>
    <w:p>
      <w:pPr>
        <w:pStyle w:val="Heading2"/>
        <w:spacing w:after="80" w:before="320"/>
      </w:pPr>
      <w:r>
        <w:rPr>
          <w:rFonts w:ascii="Arial" w:cs="Arial" w:eastAsia="Arial" w:hAnsi="Arial"/>
          <w:b/>
          <w:bCs/>
          <w:color w:val="006B61"/>
          <w:sz w:val="25"/>
          <w:szCs w:val="25"/>
        </w:rPr>
        <w:t xml:space="preserve">3.3  Stage 3: Intelligent Intake and the Donor Readiness Score</w:t>
      </w:r>
    </w:p>
    <w:p>
      <w:pPr>
        <w:spacing w:after="200" w:before="0" w:line="370" w:lineRule="auto"/>
        <w:jc w:val="both"/>
      </w:pPr>
      <w:r>
        <w:rPr>
          <w:rFonts w:ascii="Arial" w:cs="Arial" w:eastAsia="Arial" w:hAnsi="Arial"/>
          <w:b w:val="false"/>
          <w:bCs w:val="false"/>
          <w:color w:val="0F1E2E"/>
          <w:sz w:val="22"/>
          <w:szCs w:val="22"/>
        </w:rPr>
        <w:t xml:space="preserve">When a potential donor crosses the threshold from awareness to inquiry, they enter the moment of highest motivational volatility in the entire pipeline. In the current system, that moment is met with a form and a wait. In Project Donor-Flow, it is met with an immediate, personalized AI-Concierge conversation.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Natural Language Understanding (NLU) system processes the donor's initial communication in real time — assessing expressed intent, emotional state, financial anxiety indicators, health literacy signals, and logistical constraints within the first interaction. Simultaneously, the Donor Readiness Score engine calculates the DRS: a weighted composite of clinical pre-screen indicators, psychosocial signals, financial status markers, and logistical capacity variables. The DRS is not a static assessment; it is a dynamic model that updates in real time as the donor provides more information. The mathematical definition:</w:t>
      </w:r>
    </w:p>
    <w:p>
      <w:pPr>
        <w:spacing w:after="60" w:before="0"/>
      </w:pPr>
    </w:p>
    <w:p>
      <w:pPr>
        <w:spacing w:after="120" w:before="120" w:line="360" w:lineRule="auto"/>
        <w:jc w:val="center"/>
      </w:pPr>
      <w:r>
        <w:rPr>
          <w:rFonts w:ascii="Courier New" w:cs="Courier New" w:eastAsia="Courier New" w:hAnsi="Courier New"/>
          <w:b/>
          <w:bCs/>
          <w:color w:val="0F1E2E"/>
          <w:sz w:val="22"/>
          <w:szCs w:val="22"/>
        </w:rPr>
        <w:t xml:space="preserve">DRS = w₁(Clinical Pre-Screen) + w₂(Psychosocial Signal) + w₃(Financial Status) + w₄(Logistical Capacity)</w:t>
      </w:r>
    </w:p>
    <w:p>
      <w:pPr>
        <w:spacing w:after="120" w:before="120" w:line="360" w:lineRule="auto"/>
        <w:jc w:val="center"/>
      </w:pPr>
      <w:r>
        <w:rPr>
          <w:rFonts w:ascii="Courier New" w:cs="Courier New" w:eastAsia="Courier New" w:hAnsi="Courier New"/>
          <w:b/>
          <w:bCs/>
          <w:color w:val="0F1E2E"/>
          <w:sz w:val="22"/>
          <w:szCs w:val="22"/>
        </w:rPr>
        <w:t xml:space="preserve">Where: Σwᵢ = 1.0; weights calibrated quarterly on LDCPR outcome data</w:t>
      </w:r>
    </w:p>
    <w:p>
      <w:pPr>
        <w:spacing w:after="120" w:before="120" w:line="360" w:lineRule="auto"/>
        <w:jc w:val="center"/>
      </w:pPr>
      <w:r>
        <w:rPr>
          <w:rFonts w:ascii="Courier New" w:cs="Courier New" w:eastAsia="Courier New" w:hAnsi="Courier New"/>
          <w:b/>
          <w:bCs/>
          <w:color w:val="0F1E2E"/>
          <w:sz w:val="22"/>
          <w:szCs w:val="22"/>
        </w:rPr>
        <w:t xml:space="preserve">High DRS (≥70): Fast-Track | Moderate DRS (40–69): Standard + Support | Low DRS (&lt;40): Support Track Priority</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DRS's design principle is critical: it does not ask 'Is this donor qualified?' It asks 'What does this donor need right now to stay engaged?' A Low DRS does not trigger rejection — it triggers the most intensive support routing. A donor with a Low DRS due to financial anxiety signals is immediately enrolled in the Financial Advocacy Track; their NLDAC application is pre-populated before they are asked to supply a single document. A donor with a Low DRS due to health literacy signals is enrolled in the Educational Track; information is delivered at the specific health literacy level the NLU system has inferred. This is the AI architecture of inclusion: every donor, at every DRS level, receives a response designed to keep them in the pipeline.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Houston Methodist validation data confirms the necessity of this approach. Al Awadhi et al. (2025) found that ML risk indices applied at the referral stage could predict dropout during evaluation and waitlisting before it occurred — the exact function the DRS performs. The 60% evaluation non-completion rate at Houston Methodist without AI-enabled early identification represents the operational baseline that the DRS routing system is designed to disrupt.</w:t>
      </w:r>
    </w:p>
    <w:p>
      <w:pPr>
        <w:spacing w:after="80" w:before="0"/>
      </w:pPr>
    </w:p>
    <w:p>
      <w:pPr>
        <w:pStyle w:val="Heading2"/>
        <w:spacing w:after="80" w:before="320"/>
      </w:pPr>
      <w:r>
        <w:rPr>
          <w:rFonts w:ascii="Arial" w:cs="Arial" w:eastAsia="Arial" w:hAnsi="Arial"/>
          <w:b/>
          <w:bCs/>
          <w:color w:val="006B61"/>
          <w:sz w:val="25"/>
          <w:szCs w:val="25"/>
        </w:rPr>
        <w:t xml:space="preserve">3.4  Stage 4: Automated Clinical Pre-Screen — Eliminating Evaluation Fatigue</w:t>
      </w:r>
    </w:p>
    <w:p>
      <w:pPr>
        <w:spacing w:after="200" w:before="0" w:line="370" w:lineRule="auto"/>
        <w:jc w:val="both"/>
      </w:pPr>
      <w:r>
        <w:rPr>
          <w:rFonts w:ascii="Arial" w:cs="Arial" w:eastAsia="Arial" w:hAnsi="Arial"/>
          <w:b w:val="false"/>
          <w:bCs w:val="false"/>
          <w:color w:val="0F1E2E"/>
          <w:sz w:val="22"/>
          <w:szCs w:val="22"/>
        </w:rPr>
        <w:t xml:space="preserve">The administrative burden of medical record compilation is the single most consistently documented operational driver of donor evaluation fatigue and withdrawal. In the current system, the donor is responsible for identifying, contacting, and obtaining records from every healthcare provider in their history — a process that can require weeks, involves navigating multiple institutional bureaucracies, and consumes the time and emotional energy that many donors, particularly those with complex medical histories or limited administrative capacity, cannot sustain.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Project Donor-Flow eliminates this burden entirely through FHIR API integration. The 21st Century Cures Act (2016), implemented through ONC regulations finalized in 2020 (Federal Register, 85[25]:25642–25961), mandates FHIR interoperability for certified EHR systems. With donor consent obtained at Stage 3, the AI-Concierge uses FHIR APIs to pull medical records from the donor's EHR network, pre-populating the clinical history before the first in-person visit. The ML clinical risk classifier then analyzes the pre-populated record and flags modifiable risk factors — elevated BMI, borderline blood pressure, reduced GFR — generating specific protocol triggers with clinical reduction targets embedded.</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operational impact of this approach is documented. Bossini et al. (2023) applied Lean Six Sigma DMAIC methodology to living donor renal transplant evaluation at a single center, with process streamlining — including administrative automation — as a core intervention. The result: evaluation lead time reduced from a median of 293 days to 166 days (a 43.3% reduction), pre-transplantation dialysis cost exposure reduced by 45%, and the rate of potential pre-emptive donor loss reduced from 44% to 27%. The authors cite a parallel Northern Ireland program where a one-day donor assessment model — enabled by pre-visit record retrieval — produced an 80% increase in the number of living donor transplants and an 84% increase in pre-emptive transplants. These are not projections. They are published outcomes from programs that implemented a subset of what Project Donor-Flow deploys.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equity implication of FHIR automation is equally significant. The administrative burden of self-managed record compilation falls disproportionately on donors with lower health literacy, limited English proficiency, and more complex healthcare histories — precisely the demographics most underrepresented in LDKT. By eliminating the burden entirely, FHIR automation functions as an equity intervention: it removes a structural disadvantage that the current system imposes on the donors it can least afford to lose.</w:t>
      </w:r>
    </w:p>
    <w:p>
      <w:pPr>
        <w:spacing w:after="80" w:before="0"/>
      </w:pPr>
    </w:p>
    <w:p>
      <w:pPr>
        <w:pStyle w:val="Heading2"/>
        <w:spacing w:after="80" w:before="320"/>
      </w:pPr>
      <w:r>
        <w:rPr>
          <w:rFonts w:ascii="Arial" w:cs="Arial" w:eastAsia="Arial" w:hAnsi="Arial"/>
          <w:b/>
          <w:bCs/>
          <w:color w:val="006B61"/>
          <w:sz w:val="25"/>
          <w:szCs w:val="25"/>
        </w:rPr>
        <w:t xml:space="preserve">3.5  Stage 5: Adaptive Psychosocial Assessment — AI-Administered, Clinician-Enhanced</w:t>
      </w:r>
    </w:p>
    <w:p>
      <w:pPr>
        <w:spacing w:after="200" w:before="0" w:line="370" w:lineRule="auto"/>
        <w:jc w:val="both"/>
      </w:pPr>
      <w:r>
        <w:rPr>
          <w:rFonts w:ascii="Arial" w:cs="Arial" w:eastAsia="Arial" w:hAnsi="Arial"/>
          <w:b w:val="false"/>
          <w:bCs w:val="false"/>
          <w:color w:val="0F1E2E"/>
          <w:sz w:val="22"/>
          <w:szCs w:val="22"/>
        </w:rPr>
        <w:t xml:space="preserve">The psychosocial evaluation of living kidney donation has been described in the literature as existing in a state of unstandardized inconsistency. A 2024 review in Transplantation documented that only half of surveyed transplant programs reported active depression as a contraindication to donation, while only 27% reported active anxiety disorder — variation that reflects the absence of standardized, evidence-based psychosocial screening criteria (Clifton et al., 2024). This inconsistency produces inequitable outcomes: a donor with managed depression may be approved at one program and disqualified at another based on program-level policy variation rather than clinical evidence.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Project Donor-Flow deploys the Altruism Assessment Scale (AAS) and Coercion Risk Inventory (CRI) as adaptive digital instruments administered by the AI-Concierge before the first in-person visit. The adaptivity is critical: unlike static paper-based or web-form assessments, the AI-administered versions reshape their question sequences in real time based on prior responses. If a donor's initial responses indicate elevated financial pressure, the AAS probes more deeply for motivation-integrity signals — distinguishing donors who feel financially compelled from donors who are genuinely altruistically motivated but also financially strained. If CRI responses indicate family pressure dynamics, the instrument automatically escalates coercion risk probing before the clinical team's first contact.</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Research on social desirability bias in evaluation contexts documents a consistent pattern: donors present as more freely motivated in evaluative human encounters than they actually are, because the encounter carries implicit consequences for the evaluation outcome (Muzaale et al., 2014). AI-administered pre-screening, delivered in a non-judgmental, non-evaluative context before any formal assessment, produces a richer and more honest psychosocial dataset. The Nawar et al. (2026) review specifically identifies transformer-based language models as showing promise for text-based tasks in LKD including 'donor outreach and communication' — the same class of model that enables the nuanced adaptive question routing at Stage 5. This is not AI replacing the psychosocial professional. It is AI giving that professional better data than any current screening instrument produces.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LDCPR identifies the specific psychosocial factors most commonly associated with non-approval: poor adherence (62% of psychosocial non-approvals), psychiatric diagnosis (50%), cognitive concerns (33%), and poor social support (25%) (Lentine et al., 2021). All four of these factors are identifiable through AI-administered adaptive screening before formal evaluation begins. All four are addressable through targeted support interventions if identified early enough. In the current system, they are discovered late and treated as disqualifiers. In Project Donor-Flow, they are identified early and treated as support triggers. The same clinical information, deployed at a different point in the timeline, produces a fundamentally different outcome for the donor.</w:t>
      </w:r>
    </w:p>
    <w:p>
      <w:pPr>
        <w:spacing w:after="80" w:before="0"/>
      </w:pPr>
    </w:p>
    <w:p>
      <w:pPr>
        <w:pStyle w:val="Heading2"/>
        <w:spacing w:after="80" w:before="320"/>
      </w:pPr>
      <w:r>
        <w:rPr>
          <w:rFonts w:ascii="Arial" w:cs="Arial" w:eastAsia="Arial" w:hAnsi="Arial"/>
          <w:b/>
          <w:bCs/>
          <w:color w:val="006B61"/>
          <w:sz w:val="25"/>
          <w:szCs w:val="25"/>
        </w:rPr>
        <w:t xml:space="preserve">3.6  Stage 6: The Concierge Support Engine — Predictive Retention at Scale</w:t>
      </w:r>
    </w:p>
    <w:p>
      <w:pPr>
        <w:spacing w:after="200" w:before="0" w:line="370" w:lineRule="auto"/>
        <w:jc w:val="both"/>
      </w:pPr>
      <w:r>
        <w:rPr>
          <w:rFonts w:ascii="Arial" w:cs="Arial" w:eastAsia="Arial" w:hAnsi="Arial"/>
          <w:b w:val="false"/>
          <w:bCs w:val="false"/>
          <w:color w:val="0F1E2E"/>
          <w:sz w:val="22"/>
          <w:szCs w:val="22"/>
        </w:rPr>
        <w:t xml:space="preserve">The most operationally distinctive feature of Project Donor-Flow is not any individual AI tool; it is the Velocity Monitoring and predictive retention architecture that operates continuously across the entire evaluation pipeline. Donor Velocity — the rate at which a donor progresses through evaluation stages — is the most reliable behavioral predictor of eventual withdrawal. In the current model, velocity stalls are identified when a coordinator notices, days or weeks later, that they have not heard from a donor. By that point, the withdrawal decision may already have been made. In Project Donor-Flow, velocity stalls are detected algorithmically the moment the pattern appears, before the donor has consciously formulated a withdrawal intention.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Velocity Monitoring engine defines stage-specific velocity benchmarks — expected time windows for each evaluation step based on program capacity, donor profile, and historical conversion data. When a donor's progress falls outside the expected window, the system initiates a tiered response: a personalized outreach message within 24 hours that addresses the specific stage at which the stall occurred (not a generic check-in); a coordinator alert at 48 hours with a Donor Passport brief identifying the probable cause of the stall; and escalation to the psychosocial team at 72 hours if the stall persists. The Financial Advocacy Track runs in parallel: the system continuously monitors NLDAC application status, state reimbursement program eligibility, and financial barrier indicators, automatically initiating financial support actions when signals indicate economic pressure before the donor has to ask for help.</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ODTA (2025) human-technology co-care model documented by Houston Methodist's Dr. Amy Waterman provides direct real-world evidence for this approach. The model integrates AI and ML into patient care specifically to 'identify high-risk individuals early in the process, allowing for tailored interventions and the development of patient-informed support programs.' The specific framing — 'programs are being developed to listen to patients at higher risk for dropout' — describes exactly the Velocity Monitoring architecture (ODTA, 2025). The challenge is that this approach has been developed as a research initiative at a single high-resource institution. Project Donor-Flow makes it an operational standard available to every participating program.</w:t>
      </w:r>
    </w:p>
    <w:p>
      <w:pPr>
        <w:spacing w:after="80" w:before="0"/>
      </w:pPr>
    </w:p>
    <w:p>
      <w:pPr>
        <w:pStyle w:val="Heading2"/>
        <w:spacing w:after="80" w:before="320"/>
      </w:pPr>
      <w:r>
        <w:rPr>
          <w:rFonts w:ascii="Arial" w:cs="Arial" w:eastAsia="Arial" w:hAnsi="Arial"/>
          <w:b/>
          <w:bCs/>
          <w:color w:val="006B61"/>
          <w:sz w:val="25"/>
          <w:szCs w:val="25"/>
        </w:rPr>
        <w:t xml:space="preserve">3.7  Stage 7: AI-Standardized Multi-Disciplinary Review</w:t>
      </w:r>
    </w:p>
    <w:p>
      <w:pPr>
        <w:spacing w:after="200" w:before="0" w:line="370" w:lineRule="auto"/>
        <w:jc w:val="both"/>
      </w:pPr>
      <w:r>
        <w:rPr>
          <w:rFonts w:ascii="Arial" w:cs="Arial" w:eastAsia="Arial" w:hAnsi="Arial"/>
          <w:b w:val="false"/>
          <w:bCs w:val="false"/>
          <w:color w:val="0F1E2E"/>
          <w:sz w:val="22"/>
          <w:szCs w:val="22"/>
        </w:rPr>
        <w:t xml:space="preserve">The multi-disciplinary team (MDT) review that produces the final donation approval decision is a human clinical judgment — and it must remain so. But the quality of that judgment depends entirely on the completeness and reliability of the information available when it is made. In the current model, MDT members arrive at review with whatever information has been compiled by coordinators and the clinical team through sequential, manual processes. In Project Donor-Flow, the AI Decision-Support Dashboard synthesizes the complete record — clinical, psychosocial, logistical, financial, and behavioral — into a structured evidence package that presents every data point relevant to the decision in a single, navigable view.</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dashboard performs one additional function that the current system entirely lacks: it flags inter-center evaluation criterion variation in real time. When a donor's BMI triggers a flag at one program, the system notes whether the same BMI would have triggered the same flag at peer programs — making the variation visible to the reviewing clinician rather than invisible. This is the mechanism by which AI-standardization addresses the LDCPR's documented finding that BMI disqualification thresholds vary from ≥30 to ≥35 across programs (Lentine et al., 2021), producing inequitable access based on program affiliation rather than clinical evidence. The MDT retains full authority to apply the threshold they determine is clinically appropriate; what the AI provides is the information that the decision is being made in the context of documented national variation.</w:t>
      </w:r>
    </w:p>
    <w:p>
      <w:pPr>
        <w:spacing w:after="80" w:before="0"/>
      </w:pPr>
    </w:p>
    <w:p>
      <w:pPr>
        <w:pStyle w:val="Heading2"/>
        <w:spacing w:after="80" w:before="320"/>
      </w:pPr>
      <w:r>
        <w:rPr>
          <w:rFonts w:ascii="Arial" w:cs="Arial" w:eastAsia="Arial" w:hAnsi="Arial"/>
          <w:b/>
          <w:bCs/>
          <w:color w:val="006B61"/>
          <w:sz w:val="25"/>
          <w:szCs w:val="25"/>
        </w:rPr>
        <w:t xml:space="preserve">3.8  Stage 8: Post-Donation AI Monitoring — Closing the Loop</w:t>
      </w:r>
    </w:p>
    <w:p>
      <w:pPr>
        <w:spacing w:after="200" w:before="0" w:line="370" w:lineRule="auto"/>
        <w:jc w:val="both"/>
      </w:pPr>
      <w:r>
        <w:rPr>
          <w:rFonts w:ascii="Arial" w:cs="Arial" w:eastAsia="Arial" w:hAnsi="Arial"/>
          <w:b w:val="false"/>
          <w:bCs w:val="false"/>
          <w:color w:val="0F1E2E"/>
          <w:sz w:val="22"/>
          <w:szCs w:val="22"/>
        </w:rPr>
        <w:t xml:space="preserve">OPTN currently requires post-donation follow-up data collection at 6, 12, and 24 months, but a 2024 review in Transplantation documented that current requirements include only functional status and return to work — insufficient to capture the psychosocial and mental health status of the donor post-donation (Clifton et al., 2024). KDIGO Living Donor Guidelines call for systematic psychosocial wellbeing data collection throughout the donation continuum. Project Donor-Flow's Stage 8 deploys a time-series ML model that continuously monitors post-donation renal function trajectory, blood pressure, psychosocial adjustment indicators, medication adherence, and quality-of-life survey data, generating early warning signals for pre-complication patterns weeks before they produce clinical events.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Closed-Loop function of Stage 8 is as important as its safety function. Every post-donation outcome — positive and negative — is a training data point for the DRS model. When longitudinal analysis reveals that a specific pre-donation variable combination (e.g., a particular pattern of psychosocial risk score, metabolic profile, and geographic isolation) correlates with elevated post-donation complication rates, the DRS model weights are updated. Future donors with that profile receive earlier, more intensive support protocol activation. The system becomes more accurate with every completed donation. This is what 'learning' means in a clinical AI architecture: not the system replacing human expertise, but the system continuously improving the quality of the information that human expertise acts upon.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systemic importance of Stage 8's evidence-generation function extends beyond individual program improvement. The post-donation outcome data collected through Project Donor-Flow's longitudinal monitoring represents the first systematically accumulated, outcome-linked dataset connecting pre-donation psychosocial and clinical variables to post-donation health outcomes at scale. KDIGO Living Donor Guidelines call for this type of data collection; OPTN policy has moved toward requiring it; but the infrastructure to actually collect, analyze, and act on it at a population level does not yet exist. Project Donor-Flow creates that infrastructure as a byproduct of its clinical operation. Every participating program contributes to a dataset that, over time, allows the DRS model to identify pre-donation risk profiles associated with elevated post-donation complication rates with a precision that no individual program's data could support alone. This is the National Donor Velocity Benchmark extended to clinical outcomes: a continuously refined, evidence-based, AI-maintained clinical standard that improves the safety of living donation for every future donor — not just the donors enrolled in programs that individually deploy Project Donor-Flow, but every donor evaluated by a system whose protocols are shaped by the outcome evidence this framework generates. The contribution is not limited to the programs that adopt it first; it extends to the field as a whole, through the published evidence base and the OPTN policy changes that evidence supports.</w:t>
      </w:r>
    </w:p>
    <w:p>
      <w:r>
        <w:br w:type="page"/>
      </w:r>
    </w:p>
    <w:p>
      <w:pPr>
        <w:pStyle w:val="Heading1"/>
        <w:spacing w:after="60" w:before="520"/>
      </w:pPr>
      <w:r>
        <w:rPr>
          <w:rFonts w:ascii="Arial" w:cs="Arial" w:eastAsia="Arial" w:hAnsi="Arial"/>
          <w:b/>
          <w:bCs/>
          <w:caps/>
          <w:color w:val="0F1E2E"/>
          <w:sz w:val="30"/>
          <w:szCs w:val="30"/>
        </w:rPr>
        <w:t xml:space="preserve">IV.  THE LEAN SIX SIGMA FRAMEWORK: AI-ENABLED PROCESS OPTIMIZATION</w:t>
      </w:r>
    </w:p>
    <w:p>
      <w:pPr>
        <w:pBdr>
          <w:bottom w:val="single" w:color="006B61" w:sz="8" w:space="1"/>
        </w:pBdr>
        <w:spacing w:after="200" w:before="0"/>
      </w:pPr>
    </w:p>
    <w:p>
      <w:pPr>
        <w:spacing w:after="200" w:before="0" w:line="370" w:lineRule="auto"/>
        <w:jc w:val="both"/>
      </w:pPr>
      <w:r>
        <w:rPr>
          <w:rFonts w:ascii="Arial" w:cs="Arial" w:eastAsia="Arial" w:hAnsi="Arial"/>
          <w:b w:val="false"/>
          <w:bCs w:val="false"/>
          <w:color w:val="0F1E2E"/>
          <w:sz w:val="22"/>
          <w:szCs w:val="22"/>
        </w:rPr>
        <w:t xml:space="preserve">Lean Six Sigma provides the process engineering backbone of Project Donor-Flow — the structural discipline that ensures the AI applications deployed at each stage are organized around measurable outcomes, data-driven root cause analysis, and continuous improvement rather than technology deployment for its own sake. The DMAIC framework — Define, Measure, Analyze, Improve, Control — structures the entire intervention architecture, from problem definition through national scaling.</w:t>
      </w:r>
    </w:p>
    <w:p>
      <w:pPr>
        <w:spacing w:after="120" w:before="0"/>
      </w:pPr>
    </w:p>
    <w:p>
      <w:pPr>
        <w:spacing w:after="160" w:before="80"/>
        <w:jc w:val="center"/>
      </w:pPr>
      <w:r>
        <w:rPr>
          <w:rFonts w:ascii="Arial" w:cs="Arial" w:eastAsia="Arial" w:hAnsi="Arial"/>
          <w:color w:val="5A6E82"/>
          <w:sz w:val="19"/>
          <w:szCs w:val="19"/>
        </w:rPr>
        <w:t xml:space="preserve">Figure 2: Lean Six Sigma DMAIC Framework Applied to the Living Donor Pipeline—AI-Enabled Predictive Donor Lifecycle Management
(Source: CIF Framework; Lentine et al., 2021; Bossini et al., 2023; SRTR, 2023; Al Awadhi et al., 2025)</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0"/>
        <w:gridCol w:w="1380"/>
        <w:gridCol w:w="2000"/>
        <w:gridCol w:w="2540"/>
        <w:gridCol w:w="2500"/>
      </w:tblGrid>
      <w:tr>
        <w:trPr>
          <w:tblHeader/>
        </w:trPr>
        <w:tc>
          <w:tcPr>
            <w:tcW w:type="dxa" w:w="94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Phase</w:t>
            </w:r>
          </w:p>
        </w:tc>
        <w:tc>
          <w:tcPr>
            <w:tcW w:type="dxa" w:w="138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Objective</w:t>
            </w:r>
          </w:p>
        </w:tc>
        <w:tc>
          <w:tcPr>
            <w:tcW w:type="dxa" w:w="200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Current State / Evidence</w:t>
            </w:r>
          </w:p>
        </w:tc>
        <w:tc>
          <w:tcPr>
            <w:tcW w:type="dxa" w:w="254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AI-PDLM Intervention</w:t>
            </w:r>
          </w:p>
        </w:tc>
        <w:tc>
          <w:tcPr>
            <w:tcW w:type="dxa" w:w="2500"/>
            <w:tcBorders>
              <w:top w:val="single" w:color="C9D9E8" w:sz="4"/>
              <w:left w:val="single" w:color="C9D9E8" w:sz="4"/>
              <w:bottom w:val="single" w:color="C9D9E8" w:sz="4"/>
              <w:right w:val="single" w:color="C9D9E8" w:sz="4"/>
            </w:tcBorders>
            <w:shd w:fill="0F1E2E" w:val="clear"/>
            <w:tcMar>
              <w:top w:type="dxa" w:w="100"/>
              <w:left w:type="dxa" w:w="130"/>
              <w:bottom w:type="dxa" w:w="100"/>
              <w:right w:type="dxa" w:w="130"/>
            </w:tcMar>
            <w:vAlign w:val="center"/>
          </w:tcPr>
          <w:p>
            <w:pPr>
              <w:jc w:val="center"/>
            </w:pPr>
            <w:r>
              <w:rPr>
                <w:rFonts w:ascii="Arial" w:cs="Arial" w:eastAsia="Arial" w:hAnsi="Arial"/>
                <w:b/>
                <w:bCs/>
                <w:caps/>
                <w:color w:val="FFFFFF"/>
                <w:sz w:val="19"/>
                <w:szCs w:val="19"/>
              </w:rPr>
              <w:t xml:space="preserve">Target Metric</w:t>
            </w:r>
          </w:p>
        </w:tc>
      </w:tr>
      <w:tr>
        <w:tc>
          <w:tcPr>
            <w:tcW w:type="dxa" w:w="940"/>
            <w:tcBorders>
              <w:top w:val="single" w:color="C9D9E8" w:sz="4"/>
              <w:left w:val="single" w:color="C9D9E8" w:sz="4"/>
              <w:bottom w:val="single" w:color="C9D9E8" w:sz="4"/>
              <w:right w:val="single" w:color="C9D9E8" w:sz="4"/>
            </w:tcBorders>
            <w:shd w:fill="0F1E2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DEFINE</w:t>
            </w:r>
          </w:p>
        </w:tc>
        <w:tc>
          <w:tcPr>
            <w:tcW w:type="dxa" w:w="138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Establish project charter, scope, and Critical-to-Quality (CTQ) characteristics</w:t>
            </w:r>
          </w:p>
        </w:tc>
        <w:tc>
          <w:tcPr>
            <w:tcW w:type="dxa" w:w="200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Donor inquiry-to-surgery conversion &lt;20% (SRTR, 2023); 17 waitlist deaths/day nationally; 15.2% preventable withdrawal rate; no national operational standard</w:t>
            </w:r>
          </w:p>
        </w:tc>
        <w:tc>
          <w:tcPr>
            <w:tcW w:type="dxa" w:w="254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AI-Concierge deployed as primary measurement and intervention instrument; DRS defined as primary CTQ; SIPOC map generated; process boundary: inquiry to surgical clearance</w:t>
            </w:r>
          </w:p>
        </w:tc>
        <w:tc>
          <w:tcPr>
            <w:tcW w:type="dxa" w:w="250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Charter signed; baseline DRS calibration study complete; national comparison benchmarks identified</w:t>
            </w:r>
          </w:p>
        </w:tc>
      </w:tr>
      <w:tr>
        <w:tc>
          <w:tcPr>
            <w:tcW w:type="dxa" w:w="940"/>
            <w:tcBorders>
              <w:top w:val="single" w:color="C9D9E8" w:sz="4"/>
              <w:left w:val="single" w:color="C9D9E8" w:sz="4"/>
              <w:bottom w:val="single" w:color="C9D9E8" w:sz="4"/>
              <w:right w:val="single" w:color="C9D9E8" w:sz="4"/>
            </w:tcBorders>
            <w:shd w:fill="0F1E2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MEASURE</w:t>
            </w:r>
          </w:p>
        </w:tc>
        <w:tc>
          <w:tcPr>
            <w:tcW w:type="dxa" w:w="138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Quantify baseline defect rates; calculate process sigma level</w:t>
            </w:r>
          </w:p>
        </w:tc>
        <w:tc>
          <w:tcPr>
            <w:tcW w:type="dxa" w:w="200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Preventable attrition = 25.5% of non-approvals (withdrawal 15.2% + psychosocial 10.3%); DPMO = 255,000; process sigma ≈2.15σ; lead time range 127–293 days</w:t>
            </w:r>
          </w:p>
        </w:tc>
        <w:tc>
          <w:tcPr>
            <w:tcW w:type="dxa" w:w="254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AI-Concierge begins baseline velocity monitoring; DRS distribution mapped across inquiry cohort; equity-adjusted conversion rate calculated by race, income, geography</w:t>
            </w:r>
          </w:p>
        </w:tc>
        <w:tc>
          <w:tcPr>
            <w:tcW w:type="dxa" w:w="250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DPMO baseline 255,000; target DPMO &lt;66,807 (4σ); lead time target &lt;90 days</w:t>
            </w:r>
          </w:p>
        </w:tc>
      </w:tr>
      <w:tr>
        <w:tc>
          <w:tcPr>
            <w:tcW w:type="dxa" w:w="940"/>
            <w:tcBorders>
              <w:top w:val="single" w:color="C9D9E8" w:sz="4"/>
              <w:left w:val="single" w:color="C9D9E8" w:sz="4"/>
              <w:bottom w:val="single" w:color="C9D9E8" w:sz="4"/>
              <w:right w:val="single" w:color="C9D9E8" w:sz="4"/>
            </w:tcBorders>
            <w:shd w:fill="0F1E2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ANALYZE</w:t>
            </w:r>
          </w:p>
        </w:tc>
        <w:tc>
          <w:tcPr>
            <w:tcW w:type="dxa" w:w="138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Root cause analysis: identify specific failure mechanisms driving preventable attrition</w:t>
            </w:r>
          </w:p>
        </w:tc>
        <w:tc>
          <w:tcPr>
            <w:tcW w:type="dxa" w:w="200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5 root causes confirmed: (1) triage bias; (2) late reactive psychosocial screening; (3) administrative burden driving evaluation fatigue; (4) financial barrier invisible upstream of record; (5) data fragmentation/geographic inequity</w:t>
            </w:r>
          </w:p>
        </w:tc>
        <w:tc>
          <w:tcPr>
            <w:tcW w:type="dxa" w:w="254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AI Fishbone analysis of non-approval patterns; DRS regression against withdrawal; NLP analysis of undisclosed withdrawal language; geographic equity mapping via OPTN + CDC SVI</w:t>
            </w:r>
          </w:p>
        </w:tc>
        <w:tc>
          <w:tcPr>
            <w:tcW w:type="dxa" w:w="250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Triage bias + late psychosocial screening = 52.4% of preventable attrition; financial suppression = unmeasured upstream attrition</w:t>
            </w:r>
          </w:p>
        </w:tc>
      </w:tr>
      <w:tr>
        <w:tc>
          <w:tcPr>
            <w:tcW w:type="dxa" w:w="940"/>
            <w:tcBorders>
              <w:top w:val="single" w:color="C9D9E8" w:sz="4"/>
              <w:left w:val="single" w:color="C9D9E8" w:sz="4"/>
              <w:bottom w:val="single" w:color="C9D9E8" w:sz="4"/>
              <w:right w:val="single" w:color="C9D9E8" w:sz="4"/>
            </w:tcBorders>
            <w:shd w:fill="0F1E2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IMPROVE</w:t>
            </w:r>
          </w:p>
        </w:tc>
        <w:tc>
          <w:tcPr>
            <w:tcW w:type="dxa" w:w="138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Deploy AI-Concierge, DRS routing, adaptive screening, and protocol architecture</w:t>
            </w:r>
          </w:p>
        </w:tc>
        <w:tc>
          <w:tcPr>
            <w:tcW w:type="dxa" w:w="200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40% coordinator time on admin; 0 standardized early psychosocial protocols nationally; BMI threshold varies ≥30–≥35 by program; no national donor velocity standard</w:t>
            </w:r>
          </w:p>
        </w:tc>
        <w:tc>
          <w:tcPr>
            <w:tcW w:type="dxa" w:w="254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AI-Concierge deployment; DRS routing (High/Mid/Low); FHIR pre-screen automation; adaptive AAS/CRI; Financial + Metabolic + Family Advocacy + Care Network protocols; Donor Passport; Velocity Monitoring</w:t>
            </w:r>
          </w:p>
        </w:tc>
        <w:tc>
          <w:tcPr>
            <w:tcW w:type="dxa" w:w="2500"/>
            <w:tcBorders>
              <w:top w:val="single" w:color="C9D9E8" w:sz="4"/>
              <w:left w:val="single" w:color="C9D9E8" w:sz="4"/>
              <w:bottom w:val="single" w:color="C9D9E8" w:sz="4"/>
              <w:right w:val="single" w:color="C9D9E8" w:sz="4"/>
            </w:tcBorders>
            <w:shd w:fill="FFFFFF"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Projected: +40% conversion rate at 24 months; lead time &lt;90 days; admin burden −60%; protocol activation &lt;48h post-flag</w:t>
            </w:r>
          </w:p>
        </w:tc>
      </w:tr>
      <w:tr>
        <w:tc>
          <w:tcPr>
            <w:tcW w:type="dxa" w:w="940"/>
            <w:tcBorders>
              <w:top w:val="single" w:color="C9D9E8" w:sz="4"/>
              <w:left w:val="single" w:color="C9D9E8" w:sz="4"/>
              <w:bottom w:val="single" w:color="C9D9E8" w:sz="4"/>
              <w:right w:val="single" w:color="C9D9E8" w:sz="4"/>
            </w:tcBorders>
            <w:shd w:fill="0F1E2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CONTROL</w:t>
            </w:r>
          </w:p>
        </w:tc>
        <w:tc>
          <w:tcPr>
            <w:tcW w:type="dxa" w:w="138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Sustain and scale: benchmark, audit, and continuous improvement</w:t>
            </w:r>
          </w:p>
        </w:tc>
        <w:tc>
          <w:tcPr>
            <w:tcW w:type="dxa" w:w="200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No national benchmark; OPTN post-donation compliance imperfect; no outcome-linked psychosocial evidence base exists</w:t>
            </w:r>
          </w:p>
        </w:tc>
        <w:tc>
          <w:tcPr>
            <w:tcW w:type="dxa" w:w="254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National Donor Velocity Benchmark via OPTN/SRTR; Closed-Loop Algorithmic Refinement updates DRS weights quarterly; AI audit flags protocol underperformance; legislative advocacy (Marie’s Lifeline Act)</w:t>
            </w:r>
          </w:p>
        </w:tc>
        <w:tc>
          <w:tcPr>
            <w:tcW w:type="dxa" w:w="2500"/>
            <w:tcBorders>
              <w:top w:val="single" w:color="C9D9E8" w:sz="4"/>
              <w:left w:val="single" w:color="C9D9E8" w:sz="4"/>
              <w:bottom w:val="single" w:color="C9D9E8" w:sz="4"/>
              <w:right w:val="single" w:color="C9D9E8" w:sz="4"/>
            </w:tcBorders>
            <w:shd w:fill="EAF0F8" w:val="clear"/>
            <w:tcMar>
              <w:top w:type="dxa" w:w="80"/>
              <w:left w:type="dxa" w:w="130"/>
              <w:bottom w:type="dxa" w:w="80"/>
              <w:right w:type="dxa" w:w="130"/>
            </w:tcMar>
            <w:vAlign w:val="top"/>
          </w:tcPr>
          <w:p>
            <w:pPr>
              <w:jc w:val="left"/>
            </w:pPr>
            <w:r>
              <w:rPr>
                <w:rFonts w:ascii="Arial" w:cs="Arial" w:eastAsia="Arial" w:hAnsi="Arial"/>
                <w:color w:val="0F1E2E"/>
                <w:sz w:val="20"/>
                <w:szCs w:val="20"/>
              </w:rPr>
              <w:t xml:space="preserve">DRS model update quarterly; protocol review if underperforming 2+ consecutive audits; national standard target Year 3</w:t>
            </w:r>
          </w:p>
        </w:tc>
      </w:tr>
    </w:tbl>
    <w:p>
      <w:pPr>
        <w:spacing w:after="100" w:before="0"/>
      </w:pPr>
    </w:p>
    <w:p>
      <w:pPr>
        <w:spacing w:after="120" w:before="0" w:line="320" w:lineRule="auto"/>
        <w:jc w:val="both"/>
      </w:pPr>
      <w:r>
        <w:rPr>
          <w:rFonts w:ascii="Arial" w:cs="Arial" w:eastAsia="Arial" w:hAnsi="Arial"/>
          <w:color w:val="5A6E82"/>
          <w:sz w:val="19"/>
          <w:szCs w:val="19"/>
        </w:rPr>
        <w:t xml:space="preserve">DPMO = Defects Per Million Opportunities. DRS = Donor Readiness Score. CTQ = Critical to Quality. PDLM = Predictive Donor Lifecycle Management. 4σ healthcare standard = 6,210 DPMO. Current donor pipeline ≈2.15σ = 255,000 DPMO.</w:t>
      </w:r>
    </w:p>
    <w:p>
      <w:pPr>
        <w:spacing w:after="80" w:before="0"/>
      </w:pPr>
    </w:p>
    <w:p>
      <w:pPr>
        <w:pStyle w:val="Heading2"/>
        <w:spacing w:after="80" w:before="320"/>
      </w:pPr>
      <w:r>
        <w:rPr>
          <w:rFonts w:ascii="Arial" w:cs="Arial" w:eastAsia="Arial" w:hAnsi="Arial"/>
          <w:b/>
          <w:bCs/>
          <w:color w:val="006B61"/>
          <w:sz w:val="25"/>
          <w:szCs w:val="25"/>
        </w:rPr>
        <w:t xml:space="preserve">4.1  Process Sigma Quantification</w:t>
      </w:r>
    </w:p>
    <w:p>
      <w:pPr>
        <w:spacing w:after="200" w:before="0" w:line="370" w:lineRule="auto"/>
        <w:jc w:val="both"/>
      </w:pPr>
      <w:r>
        <w:rPr>
          <w:rFonts w:ascii="Arial" w:cs="Arial" w:eastAsia="Arial" w:hAnsi="Arial"/>
          <w:b w:val="false"/>
          <w:bCs w:val="false"/>
          <w:color w:val="0F1E2E"/>
          <w:sz w:val="22"/>
          <w:szCs w:val="22"/>
        </w:rPr>
        <w:t xml:space="preserve">Six Sigma methodology defines a 'defect' as any outcome that falls outside specification. In the donor pipeline, a defect is any event in which a medically and psychosocially appropriate donor candidate exits the process due to a preventable operational failure. Using LDCPR data: candidate withdrawal (15.2%) plus psychosocial non-approvals (10.3%) represents 25.5% preventable attrition within the non-approved pool.</w:t>
      </w:r>
    </w:p>
    <w:p>
      <w:pPr>
        <w:spacing w:after="60" w:before="0"/>
      </w:pPr>
    </w:p>
    <w:p>
      <w:pPr>
        <w:spacing w:after="120" w:before="120" w:line="360" w:lineRule="auto"/>
        <w:jc w:val="center"/>
      </w:pPr>
      <w:r>
        <w:rPr>
          <w:rFonts w:ascii="Courier New" w:cs="Courier New" w:eastAsia="Courier New" w:hAnsi="Courier New"/>
          <w:b/>
          <w:bCs/>
          <w:color w:val="0F1E2E"/>
          <w:sz w:val="22"/>
          <w:szCs w:val="22"/>
        </w:rPr>
        <w:t xml:space="preserve">DPMO = 0.255 × 1,000,000 = 255,000</w:t>
      </w:r>
    </w:p>
    <w:p>
      <w:pPr>
        <w:spacing w:after="120" w:before="120" w:line="360" w:lineRule="auto"/>
        <w:jc w:val="center"/>
      </w:pPr>
      <w:r>
        <w:rPr>
          <w:rFonts w:ascii="Courier New" w:cs="Courier New" w:eastAsia="Courier New" w:hAnsi="Courier New"/>
          <w:b/>
          <w:bCs/>
          <w:color w:val="0F1E2E"/>
          <w:sz w:val="22"/>
          <w:szCs w:val="22"/>
        </w:rPr>
        <w:t xml:space="preserve">Sigma Level ≈ 2.15σ (standard DPMO-to-Sigma conversion table)</w:t>
      </w:r>
    </w:p>
    <w:p>
      <w:pPr>
        <w:spacing w:after="120" w:before="120" w:line="360" w:lineRule="auto"/>
        <w:jc w:val="center"/>
      </w:pPr>
      <w:r>
        <w:rPr>
          <w:rFonts w:ascii="Courier New" w:cs="Courier New" w:eastAsia="Courier New" w:hAnsi="Courier New"/>
          <w:b/>
          <w:bCs/>
          <w:color w:val="0F1E2E"/>
          <w:sz w:val="22"/>
          <w:szCs w:val="22"/>
        </w:rPr>
        <w:t xml:space="preserve">Target after AI-PDLM deployment: DPMO ≤66,807 = 3σ (healthcare minimum acceptable)</w:t>
      </w:r>
    </w:p>
    <w:p>
      <w:pPr>
        <w:spacing w:after="120" w:before="120" w:line="360" w:lineRule="auto"/>
        <w:jc w:val="center"/>
      </w:pPr>
      <w:r>
        <w:rPr>
          <w:rFonts w:ascii="Courier New" w:cs="Courier New" w:eastAsia="Courier New" w:hAnsi="Courier New"/>
          <w:b/>
          <w:bCs/>
          <w:color w:val="0F1E2E"/>
          <w:sz w:val="22"/>
          <w:szCs w:val="22"/>
        </w:rPr>
        <w:t xml:space="preserve">40% relative improvement: DPMO = 255,000 × 0.60 = 153,000 DPMO at 24 months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A process at 2.15σ is producing preventable failures at a rate that would trigger immediate remediation in any quality-controlled clinical environment. For context, Six Sigma quality (6σ) targets 3.4 DPMO; a 3σ healthcare standard targets 66,807 DPMO. The current living donor evaluation pipeline — at 255,000 DPMO — is operating more than three standard deviations below the minimum acceptable healthcare process quality standard. The AI-PDLM deployment projects a 40% relative improvement, reducing DPMO to approximately 153,000 within 24 months and continuing to improve as the Closed-Loop Refinement system accumulates data. The ultimate target is 3σ or better — a 74% reduction in preventable attrition from the current baseline.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Lean component of the LSS framework contributes the Muda (waste) elimination discipline that complements Six Sigma's variance reduction focus. Mapping the Eight Wastes (DOWNTIME: Defects, Overproduction, Waiting, Non-utilized talent, Transportation, Inventory, Motion, Extra-processing) to the donor pipeline reveals the full scope of the operational problem. Waiting waste: the documented 127–293 day evaluation lead time range (Bossini et al., 2023), during which recipients' medical status may deteriorate and donor motivation erodes. Defect waste: the 2.15σ preventable attrition rate. Non-utilized talent waste: the 15.2% candidate withdrawal rate represents individuals whose altruistic capacity was fully activated but never converted — the highest-value form of talent waste in the clinical context. Extra-processing waste: donors managing their own record compilation from multiple providers, performing administrative tasks that require no clinical expertise and consume time and energy that could be directed toward the evaluation itself. Motion waste: multiple in-person visits for steps that FHIR automation and remote assessment could eliminate. Transportation waste: geographic travel barriers disproportionately affecting rural and lower-income donors, addressable through telehealth integration and remote assessment protocols.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Each waste category has a direct AI remedy in Project Donor-Flow's architecture. Waiting waste is addressed by FHIR pre-screening (Stage 4) and Velocity Monitoring (Stage 6), both of which reduce lead time. Defect waste is addressed by the DRS routing system (Stage 3) and adaptive psychosocial screening (Stage 5), which convert defect-generating late-stage disqualifiers into early-stage support interventions. Non-utilized talent waste is addressed by the entire pipeline architecture — every stage is designed to retain donors who the current system loses. Extra-processing and Motion waste are addressed by FHIR automation and AI-administered assessments, which eliminate the administrative and travel burden that produces evaluation fatigue. Transportation waste is addressed by the AI-mediated intake and assessment systems, which allow a substantial portion of the evaluation process to proceed remotely before any in-person visit is required. The Lean analysis does not merely diagnose the problem; it maps directly to the AI solution architecture, confirming that each system component addresses a specifically identified, measurable waste category.</w:t>
      </w:r>
    </w:p>
    <w:p>
      <w:pPr>
        <w:spacing w:after="80" w:before="0"/>
      </w:pPr>
    </w:p>
    <w:p>
      <w:pPr>
        <w:pStyle w:val="Heading2"/>
        <w:spacing w:after="80" w:before="320"/>
      </w:pPr>
      <w:r>
        <w:rPr>
          <w:rFonts w:ascii="Arial" w:cs="Arial" w:eastAsia="Arial" w:hAnsi="Arial"/>
          <w:b/>
          <w:bCs/>
          <w:color w:val="006B61"/>
          <w:sz w:val="25"/>
          <w:szCs w:val="25"/>
        </w:rPr>
        <w:t xml:space="preserve">4.2  Conversion Rate Modeling</w:t>
      </w:r>
    </w:p>
    <w:p>
      <w:pPr>
        <w:spacing w:after="200" w:before="0" w:line="370" w:lineRule="auto"/>
        <w:jc w:val="both"/>
      </w:pPr>
      <w:r>
        <w:rPr>
          <w:rFonts w:ascii="Arial" w:cs="Arial" w:eastAsia="Arial" w:hAnsi="Arial"/>
          <w:b w:val="false"/>
          <w:bCs w:val="false"/>
          <w:color w:val="0F1E2E"/>
          <w:sz w:val="22"/>
          <w:szCs w:val="22"/>
        </w:rPr>
        <w:t xml:space="preserve">The 40% conversion rate improvement projection derives from a conservative synthesis of the published interventional evidence:</w:t>
      </w:r>
    </w:p>
    <w:p>
      <w:pPr>
        <w:spacing w:after="60" w:before="0"/>
      </w:pPr>
    </w:p>
    <w:p>
      <w:pPr>
        <w:spacing w:after="120" w:before="120" w:line="360" w:lineRule="auto"/>
        <w:jc w:val="center"/>
      </w:pPr>
      <w:r>
        <w:rPr>
          <w:rFonts w:ascii="Courier New" w:cs="Courier New" w:eastAsia="Courier New" w:hAnsi="Courier New"/>
          <w:b/>
          <w:bCs/>
          <w:color w:val="0F1E2E"/>
          <w:sz w:val="22"/>
          <w:szCs w:val="22"/>
        </w:rPr>
        <w:t xml:space="preserve">Baseline Conversion Rate (C₀) ≈ 0.18 (18% of initial inquiries reach surgery)</w:t>
      </w:r>
    </w:p>
    <w:p>
      <w:pPr>
        <w:spacing w:after="120" w:before="120" w:line="360" w:lineRule="auto"/>
        <w:jc w:val="center"/>
      </w:pPr>
      <w:r>
        <w:rPr>
          <w:rFonts w:ascii="Courier New" w:cs="Courier New" w:eastAsia="Courier New" w:hAnsi="Courier New"/>
          <w:b/>
          <w:bCs/>
          <w:color w:val="0F1E2E"/>
          <w:sz w:val="22"/>
          <w:szCs w:val="22"/>
        </w:rPr>
        <w:t xml:space="preserve">Target Conversion Rate (C₁) = C₀ × (1 + Δ)</w:t>
      </w:r>
    </w:p>
    <w:p>
      <w:pPr>
        <w:spacing w:after="120" w:before="120" w:line="360" w:lineRule="auto"/>
        <w:jc w:val="center"/>
      </w:pPr>
      <w:r>
        <w:rPr>
          <w:rFonts w:ascii="Courier New" w:cs="Courier New" w:eastAsia="Courier New" w:hAnsi="Courier New"/>
          <w:b/>
          <w:bCs/>
          <w:color w:val="0F1E2E"/>
          <w:sz w:val="22"/>
          <w:szCs w:val="22"/>
        </w:rPr>
        <w:t xml:space="preserve">Bossini et al. (2023) LSS component: Δ₁ = 0.17 absolute improvement in donor retention</w:t>
      </w:r>
    </w:p>
    <w:p>
      <w:pPr>
        <w:spacing w:after="120" w:before="120" w:line="360" w:lineRule="auto"/>
        <w:jc w:val="center"/>
      </w:pPr>
      <w:r>
        <w:rPr>
          <w:rFonts w:ascii="Courier New" w:cs="Courier New" w:eastAsia="Courier New" w:hAnsi="Courier New"/>
          <w:b/>
          <w:bCs/>
          <w:color w:val="0F1E2E"/>
          <w:sz w:val="22"/>
          <w:szCs w:val="22"/>
        </w:rPr>
        <w:t xml:space="preserve">ODTA AI profiling component: Δ₂ = elevated activation rate</w:t>
      </w:r>
    </w:p>
    <w:p>
      <w:pPr>
        <w:spacing w:after="120" w:before="120" w:line="360" w:lineRule="auto"/>
        <w:jc w:val="center"/>
      </w:pPr>
      <w:r>
        <w:rPr>
          <w:rFonts w:ascii="Courier New" w:cs="Courier New" w:eastAsia="Courier New" w:hAnsi="Courier New"/>
          <w:b/>
          <w:bCs/>
          <w:color w:val="0F1E2E"/>
          <w:sz w:val="22"/>
          <w:szCs w:val="22"/>
        </w:rPr>
        <w:t xml:space="preserve">Houston Methodist AI dropout prevention: Δ₃ = completion rate improvement from &lt;40% to projected 55%+</w:t>
      </w:r>
    </w:p>
    <w:p>
      <w:pPr>
        <w:spacing w:after="120" w:before="120" w:line="360" w:lineRule="auto"/>
        <w:jc w:val="center"/>
      </w:pPr>
      <w:r>
        <w:rPr>
          <w:rFonts w:ascii="Courier New" w:cs="Courier New" w:eastAsia="Courier New" w:hAnsi="Courier New"/>
          <w:b/>
          <w:bCs/>
          <w:color w:val="0F1E2E"/>
          <w:sz w:val="22"/>
          <w:szCs w:val="22"/>
        </w:rPr>
        <w:t xml:space="preserve">Conservative weighted Δ = 0.40 (40% relative improvement)</w:t>
      </w:r>
    </w:p>
    <w:p>
      <w:pPr>
        <w:spacing w:after="120" w:before="120" w:line="360" w:lineRule="auto"/>
        <w:jc w:val="center"/>
      </w:pPr>
      <w:r>
        <w:rPr>
          <w:rFonts w:ascii="Courier New" w:cs="Courier New" w:eastAsia="Courier New" w:hAnsi="Courier New"/>
          <w:b/>
          <w:bCs/>
          <w:color w:val="0F1E2E"/>
          <w:sz w:val="22"/>
          <w:szCs w:val="22"/>
        </w:rPr>
        <w:t xml:space="preserve">C₁ = 0.18 × 1.40 = 0.252 (25.2% conversion rate at 24 months)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This 40% relative improvement is explicitly conservative. The Bossini et al. (2023) study produced a 17-percentage-point absolute improvement in donor retention using a subset of Project Donor-Flow's tools — without the DRS, without social media monitoring, without the Financial Advocacy Track, and without AI-based velocity monitoring. The Northern Ireland one-day assessment program produced an 80% increase in LDRT volume. The full PDLM architecture compounds these effects: the upstream AI targeting at Stages 1 and 2 increases inquiry volume with higher-quality leads; the DRS routing at Stage 3 reduces early-stage attrition; the automated pre-screen at Stage 4 reduces evaluation fatigue; the adaptive psychosocial screen at Stage 5 converts late-stage disqualifiers into early-stage support interventions; and the Velocity Monitoring at Stage 6 recovers donors who would otherwise withdraw silently. The 40% figure represents the expected first-year effect. Year 2 and Year 3 gains, driven by Closed-Loop DRS refinement, will compound it.</w:t>
      </w:r>
    </w:p>
    <w:p>
      <w:r>
        <w:br w:type="page"/>
      </w:r>
    </w:p>
    <w:p>
      <w:pPr>
        <w:pStyle w:val="Heading1"/>
        <w:spacing w:after="60" w:before="520"/>
      </w:pPr>
      <w:r>
        <w:rPr>
          <w:rFonts w:ascii="Arial" w:cs="Arial" w:eastAsia="Arial" w:hAnsi="Arial"/>
          <w:b/>
          <w:bCs/>
          <w:caps/>
          <w:color w:val="0F1E2E"/>
          <w:sz w:val="30"/>
          <w:szCs w:val="30"/>
        </w:rPr>
        <w:t xml:space="preserve">V.  WHY AWARENESS IS THE STARTING LINE, NOT THE FINISH LINE</w:t>
      </w:r>
    </w:p>
    <w:p>
      <w:pPr>
        <w:pBdr>
          <w:bottom w:val="single" w:color="006B61" w:sz="8" w:space="1"/>
        </w:pBdr>
        <w:spacing w:after="200" w:before="0"/>
      </w:pPr>
    </w:p>
    <w:p>
      <w:pPr>
        <w:spacing w:after="200" w:before="0" w:line="370" w:lineRule="auto"/>
        <w:jc w:val="both"/>
      </w:pPr>
      <w:r>
        <w:rPr>
          <w:rFonts w:ascii="Arial" w:cs="Arial" w:eastAsia="Arial" w:hAnsi="Arial"/>
          <w:b w:val="false"/>
          <w:bCs w:val="false"/>
          <w:color w:val="0F1E2E"/>
          <w:sz w:val="22"/>
          <w:szCs w:val="22"/>
        </w:rPr>
        <w:t xml:space="preserve">Awareness campaigns — television advertising, billboard placements, community health fairs, employer opt-in programs, faith community partnerships, and national registration drives — are the necessary and non-negotiable first act of any living donor optimization strategy. Without them, the pipeline has no inputs. The ODTA campaign's 1,400 evaluation starters from 121,000 digital touches demonstrates that well-targeted awareness, guided by AI profiling, can produce meaningful inquiry volume. State-level legislative changes that function as structural awareness interventions — New York's 2022 direct donor reimbursement law, employer non-discrimination protections — have documented positive correlations with LDKT rates (AKF Report Card, 2023).</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But awareness campaigns have a mathematically definable ceiling on their impact, and that ceiling is set entirely by the retention capacity of the evaluation system that receives the donors they generate. The SRTR documents that more than 80% of individuals who express initial interest never reach surgery (SRTR, 2023). That means for every 100 people a campaign moves to inquiry, 80 will be lost — not primarily to medical disqualification, but to the operational, logistical, financial, and psychosocial failures of the evaluation pipeline. Awareness investment, in this context, is 80% wasted — not because the campaigns are ineffective, but because the infrastructure to retain what they generate does not exist.</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implication for resource allocation is direct. A transplant organization that spends $500,000 on awareness campaigns and $0 on evaluation infrastructure improvement is spending $400,000 on donors who will leave before evaluation is complete. The marginal return on the next dollar of awareness investment is bounded by the 20% retention rate. The marginal return on the first dollar of AI-enabled evaluation infrastructure investment increases the retention rate for every dollar already spent on awareness and every dollar that will be spent in the future. The correct strategy is not to choose between awareness and evaluation investment; it is to ensure that evaluation infrastructure investment precedes or accompanies awareness scale-up, because the ROI of awareness spending depends entirely on evaluation capacity.</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This is why Project Donor-Flow integrates awareness optimization (Stages 1–2) with evaluation optimization (Stages 3–8) as a unified system. The AI population mapping at Stage 1 guides where awareness resources are deployed. The social media NLP at Stage 2 converts ambient awareness into actionable outreach. Stages 3–8 ensure that the donors generated by that outreach are retained, supported, and converted. The system is designed so that every investment in awareness is maximally productive — because the infrastructure to capture its output is already in place.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design of effective awareness campaigns for living donation is itself an AI-addressable problem. The Boadu et al. (2023) random forest analysis of 14,278 survey respondents identified that statistical presentations about organ donation and content emphasizing the 'meaningfulness' of donation were the formats most likely to prompt expressed intent to donate — a finding directly applicable to campaign content optimization. Television advertising that leads with mortality statistics and wait time data outperforms emotional appeals alone in certain demographic segments; the ML audience profiling developed at Stage 1 identifies which segments respond to which message formats, enabling creative teams to develop differentiated content for different community audiences rather than a single national message that underperforms across every demographic it targets.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Billboard campaigns in high-ESRD-burden communities — particularly in Mississippi, Louisiana, and Alabama — serve a function that no digital campaign fully replicates: they meet potential donors in physical space, in the neighborhoods where they live and work, with a message that normalizes the concept of living donation in communities where it has historically been unfamiliar or associated with distrust of the healthcare system. The Stage 1 AI mapping identifies not only which ZIP codes have the highest need but which specific community touchpoints — dialysis centers, FQHCs, faith institutions, barbershops and beauty salons that function as community health hubs in many Black communities — are the most effective locations for that physical presence. AI does not make billboards obsolete; it makes them precisely targeted rather than arbitrarily placed.</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television and digital media components of awareness campaigns benefit from the Stage 2 social media intelligence in a direct operational way. When the NLP monitor identifies a surge in living donor-related social media activity in a specific community — perhaps following a local media story about a dialysis patient needing a donor, or a social media post by a community influencer about a family member's ESRD diagnosis — the AI system can alert the outreach team to deploy targeted digital advertising to that community in real time, capitalizing on the elevated community attention while it exists. This is responsive advertising intelligence: awareness campaigns that are not fixed schedules but dynamic deployments coordinated with the community conversation as it happens.</w:t>
      </w:r>
    </w:p>
    <w:p>
      <w:r>
        <w:br w:type="page"/>
      </w:r>
    </w:p>
    <w:p>
      <w:pPr>
        <w:pStyle w:val="Heading1"/>
        <w:spacing w:after="60" w:before="520"/>
      </w:pPr>
      <w:r>
        <w:rPr>
          <w:rFonts w:ascii="Arial" w:cs="Arial" w:eastAsia="Arial" w:hAnsi="Arial"/>
          <w:b/>
          <w:bCs/>
          <w:caps/>
          <w:color w:val="0F1E2E"/>
          <w:sz w:val="30"/>
          <w:szCs w:val="30"/>
        </w:rPr>
        <w:t xml:space="preserve">VI.  THE CIF VALUE PROPOSITION: INDEPENDENCE, EXPERTISE, AND MANDATE</w:t>
      </w:r>
    </w:p>
    <w:p>
      <w:pPr>
        <w:pBdr>
          <w:bottom w:val="single" w:color="006B61" w:sz="8" w:space="1"/>
        </w:pBdr>
        <w:spacing w:after="200" w:before="0"/>
      </w:pPr>
    </w:p>
    <w:p>
      <w:pPr>
        <w:pStyle w:val="Heading2"/>
        <w:spacing w:after="80" w:before="320"/>
      </w:pPr>
      <w:r>
        <w:rPr>
          <w:rFonts w:ascii="Arial" w:cs="Arial" w:eastAsia="Arial" w:hAnsi="Arial"/>
          <w:b/>
          <w:bCs/>
          <w:color w:val="006B61"/>
          <w:sz w:val="25"/>
          <w:szCs w:val="25"/>
        </w:rPr>
        <w:t xml:space="preserve">6.1  The Structural Problem with Industry-Adjacent Advocacy</w:t>
      </w:r>
    </w:p>
    <w:p>
      <w:pPr>
        <w:spacing w:after="200" w:before="0" w:line="370" w:lineRule="auto"/>
        <w:jc w:val="both"/>
      </w:pPr>
      <w:r>
        <w:rPr>
          <w:rFonts w:ascii="Arial" w:cs="Arial" w:eastAsia="Arial" w:hAnsi="Arial"/>
          <w:b w:val="false"/>
          <w:bCs w:val="false"/>
          <w:color w:val="0F1E2E"/>
          <w:sz w:val="22"/>
          <w:szCs w:val="22"/>
        </w:rPr>
        <w:t xml:space="preserve">The organizations that most visibly dominate the national conversation about kidney disease and transplantation receive substantial funding from the dialysis and pharmaceutical industries. This does not corrupt their clinical work, but it creates a documented structural constraint on which systemic failures they can publicly name and which solutions they can advocate without conflicting with funder interests. The dialysis industry is a $6.7 billion annual Medicare expenditure (CMS, 2023), concentrated in two dominant corporate providers that fund advocacy organizations, sponsor patient education programs, and support the disease organizations most visible in the kidney patient advocacy space. These organizations are not structurally positioned to argue aggressively that the dialysis market should be disrupted by a dramatic expansion of living donation — even when that argument is the correct clinical and fiscal conclusion.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CIF was founded with a single governing constraint: zero pharmaceutical, dialysis, or insurance industry funding. This is a founding condition, not a circumstance. When CIF argues that the living donor evaluation system is structurally broken and that AI is the primary available mechanism to fix it, there is no funder whose business model depends on the system remaining broken. That independence is the evidentiary foundation of this white paper's credibility.</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operational significance of this independence extends beyond credibility. It also enables the specific kind of advocacy work that Project Donor-Flow requires. Proposing that AI systems be used to monitor social media for potential living donors, to adaptively administer psychosocial assessments before formal clinical encounters, and to generate automated protocol responses to clinical risk flags — these are proposals that require an organization willing to argue for structural change in how transplant programs operate. Organizations funded by the same hospital systems and academic medical centers that run transplant programs are structurally limited in how forcefully they can argue that those programs are failing and need operational redesign. CIF is not limited in this way. Its advocacy is not bounded by the institutional relationships of its funders, because its funders are the people who need kidneys and the people willing to give them — not the institutions managing the process between the two.</w:t>
      </w:r>
    </w:p>
    <w:p>
      <w:pPr>
        <w:spacing w:after="80" w:before="0"/>
      </w:pPr>
    </w:p>
    <w:p>
      <w:pPr>
        <w:pStyle w:val="Heading2"/>
        <w:spacing w:after="80" w:before="320"/>
      </w:pPr>
      <w:r>
        <w:rPr>
          <w:rFonts w:ascii="Arial" w:cs="Arial" w:eastAsia="Arial" w:hAnsi="Arial"/>
          <w:b/>
          <w:bCs/>
          <w:color w:val="006B61"/>
          <w:sz w:val="25"/>
          <w:szCs w:val="25"/>
        </w:rPr>
        <w:t xml:space="preserve">6.2  The Care Partner Perspective as Analytical Instrument</w:t>
      </w:r>
    </w:p>
    <w:p>
      <w:pPr>
        <w:spacing w:after="200" w:before="0" w:line="370" w:lineRule="auto"/>
        <w:jc w:val="both"/>
      </w:pPr>
      <w:r>
        <w:rPr>
          <w:rFonts w:ascii="Arial" w:cs="Arial" w:eastAsia="Arial" w:hAnsi="Arial"/>
          <w:b w:val="false"/>
          <w:bCs w:val="false"/>
          <w:color w:val="0F1E2E"/>
          <w:sz w:val="22"/>
          <w:szCs w:val="22"/>
        </w:rPr>
        <w:t xml:space="preserve">Jeff Parke is a three-time kidney transplant recipient. Marie Parke is a registered nurse in radiation oncology. Their combined perspective — lived experience of the transplant system as a patient, professional clinical expertise in care delivery, and the analytical capacity to translate both into policy and operational frameworks — produces an analytical vantage point that institutional researchers systematically miss. The LDCPR documents that 50.7% of candidate self-withdrawals cited 'undisclosed' reasons (SRTR/LDCPR, 2020). Institutional researchers read that as a data collection gap. CIF reads it as shame, financial embarrassment, family conflict, or logistical overwhelm that the donor could not safely disclose to the institutional authority that was simultaneously evaluating and potentially excluding them. The appropriate response is not better exit surveys; it is a system architecture that eliminates the conditions producing that shame — a system the donor experiences as a support partner, not an evaluative gatekeeper. Every AI design choice in Project Donor-Flow reflects that understanding.</w:t>
      </w:r>
    </w:p>
    <w:p>
      <w:pPr>
        <w:spacing w:after="80" w:before="0"/>
      </w:pPr>
    </w:p>
    <w:p>
      <w:pPr>
        <w:pStyle w:val="Heading2"/>
        <w:spacing w:after="80" w:before="320"/>
      </w:pPr>
      <w:r>
        <w:rPr>
          <w:rFonts w:ascii="Arial" w:cs="Arial" w:eastAsia="Arial" w:hAnsi="Arial"/>
          <w:b/>
          <w:bCs/>
          <w:color w:val="006B61"/>
          <w:sz w:val="25"/>
          <w:szCs w:val="25"/>
        </w:rPr>
        <w:t xml:space="preserve">6.3  Legislative Alignment: Marie’s Lifeline Compensation Act</w:t>
      </w:r>
    </w:p>
    <w:p>
      <w:pPr>
        <w:spacing w:after="200" w:before="0" w:line="370" w:lineRule="auto"/>
        <w:jc w:val="both"/>
      </w:pPr>
      <w:r>
        <w:rPr>
          <w:rFonts w:ascii="Arial" w:cs="Arial" w:eastAsia="Arial" w:hAnsi="Arial"/>
          <w:b w:val="false"/>
          <w:bCs w:val="false"/>
          <w:color w:val="0F1E2E"/>
          <w:sz w:val="22"/>
          <w:szCs w:val="22"/>
        </w:rPr>
        <w:t xml:space="preserve">AI can optimize the evaluation pipeline for donors who enter it. But the donors most underrepresented in LDKT — lower-income individuals in high-ESRD-burden states — are disproportionately suppressed upstream of the pipeline, by financial barriers that operate before any inquiry is generated. The economic non-approval rate of 0.5% documented in LDCPR (Lentine et al., 2021) radically understates the true financial barrier because financial pressure silences inquiry before any record is generated. Marie's Lifeline Compensation Act, modeled on New York State's 2022 direct donor reimbursement legislation, addresses this upstream barrier by establishing a national framework for direct donor compensation. CIF advances both Project Donor-Flow and Marie's Lifeline simultaneously — the only organization doing so from an independent position. AI optimizes the pipeline; legislation expands the population that enters it. The two interventions are designed to compound each other.</w:t>
      </w:r>
    </w:p>
    <w:p>
      <w:r>
        <w:br w:type="page"/>
      </w:r>
    </w:p>
    <w:p>
      <w:pPr>
        <w:pStyle w:val="Heading1"/>
        <w:spacing w:after="60" w:before="520"/>
      </w:pPr>
      <w:r>
        <w:rPr>
          <w:rFonts w:ascii="Arial" w:cs="Arial" w:eastAsia="Arial" w:hAnsi="Arial"/>
          <w:b/>
          <w:bCs/>
          <w:caps/>
          <w:color w:val="0F1E2E"/>
          <w:sz w:val="30"/>
          <w:szCs w:val="30"/>
        </w:rPr>
        <w:t xml:space="preserve">VII.  NATIONAL IMPACT PROJECTIONS AND THE VELOCITY BENCHMARK</w:t>
      </w:r>
    </w:p>
    <w:p>
      <w:pPr>
        <w:pBdr>
          <w:bottom w:val="single" w:color="006B61" w:sz="8" w:space="1"/>
        </w:pBdr>
        <w:spacing w:after="200" w:before="0"/>
      </w:pPr>
    </w:p>
    <w:p>
      <w:pPr>
        <w:pStyle w:val="Heading2"/>
        <w:spacing w:after="80" w:before="320"/>
      </w:pPr>
      <w:r>
        <w:rPr>
          <w:rFonts w:ascii="Arial" w:cs="Arial" w:eastAsia="Arial" w:hAnsi="Arial"/>
          <w:b/>
          <w:bCs/>
          <w:color w:val="006B61"/>
          <w:sz w:val="25"/>
          <w:szCs w:val="25"/>
        </w:rPr>
        <w:t xml:space="preserve">7.1  Quantifying the National AI Impact</w:t>
      </w:r>
    </w:p>
    <w:p>
      <w:pPr>
        <w:spacing w:after="200" w:before="0" w:line="370" w:lineRule="auto"/>
        <w:jc w:val="both"/>
      </w:pPr>
      <w:r>
        <w:rPr>
          <w:rFonts w:ascii="Arial" w:cs="Arial" w:eastAsia="Arial" w:hAnsi="Arial"/>
          <w:b w:val="false"/>
          <w:bCs w:val="false"/>
          <w:color w:val="0F1E2E"/>
          <w:sz w:val="22"/>
          <w:szCs w:val="22"/>
        </w:rPr>
        <w:t xml:space="preserve">The 40% conversion rate improvement that Project Donor-Flow projects, applied to the current U.S. living donor base, translates into measurable national impact. In 2023, 6,226 living kidney donors were recorded nationally. A 40% improvement in the inquiry-to-surgery conversion rate does not require a 40% increase in inquiries; it requires a 40% improvement in retaining and converting the inquiries that already occur.</w:t>
      </w:r>
    </w:p>
    <w:p>
      <w:pPr>
        <w:spacing w:after="60" w:before="0"/>
      </w:pPr>
    </w:p>
    <w:p>
      <w:pPr>
        <w:spacing w:after="120" w:before="120" w:line="360" w:lineRule="auto"/>
        <w:jc w:val="center"/>
      </w:pPr>
      <w:r>
        <w:rPr>
          <w:rFonts w:ascii="Courier New" w:cs="Courier New" w:eastAsia="Courier New" w:hAnsi="Courier New"/>
          <w:b/>
          <w:bCs/>
          <w:color w:val="0F1E2E"/>
          <w:sz w:val="22"/>
          <w:szCs w:val="22"/>
        </w:rPr>
        <w:t xml:space="preserve">Projected additional annual donors = 6,226 × 0.40 = 2,490 additional living donors per year</w:t>
      </w:r>
    </w:p>
    <w:p>
      <w:pPr>
        <w:spacing w:after="120" w:before="120" w:line="360" w:lineRule="auto"/>
        <w:jc w:val="center"/>
      </w:pPr>
      <w:r>
        <w:rPr>
          <w:rFonts w:ascii="Courier New" w:cs="Courier New" w:eastAsia="Courier New" w:hAnsi="Courier New"/>
          <w:b/>
          <w:bCs/>
          <w:color w:val="0F1E2E"/>
          <w:sz w:val="22"/>
          <w:szCs w:val="22"/>
        </w:rPr>
        <w:t xml:space="preserve">Projected national LDKT volume at 24 months: 6,226 + 2,490 = 8,716 living donors/year</w:t>
      </w:r>
    </w:p>
    <w:p>
      <w:pPr>
        <w:spacing w:after="120" w:before="120" w:line="360" w:lineRule="auto"/>
        <w:jc w:val="center"/>
      </w:pPr>
      <w:r>
        <w:rPr>
          <w:rFonts w:ascii="Courier New" w:cs="Courier New" w:eastAsia="Courier New" w:hAnsi="Courier New"/>
          <w:b/>
          <w:bCs/>
          <w:color w:val="0F1E2E"/>
          <w:sz w:val="22"/>
          <w:szCs w:val="22"/>
        </w:rPr>
        <w:t xml:space="preserve">Reduction in waitlist mortality contribution (proportional): 2,490 × (17 deaths/day / 91,000 waitlisted)</w:t>
      </w:r>
    </w:p>
    <w:p>
      <w:pPr>
        <w:spacing w:after="120" w:before="120" w:line="360" w:lineRule="auto"/>
        <w:jc w:val="center"/>
      </w:pPr>
      <w:r>
        <w:rPr>
          <w:rFonts w:ascii="Courier New" w:cs="Courier New" w:eastAsia="Courier New" w:hAnsi="Courier New"/>
          <w:b/>
          <w:bCs/>
          <w:color w:val="0F1E2E"/>
          <w:sz w:val="22"/>
          <w:szCs w:val="22"/>
        </w:rPr>
        <w:t xml:space="preserve"> = 0.465 waitlist deaths prevented per additional donor × 2,490 = 1,158 fewer waitlist deaths annually</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These projections are conservative for two reasons. First, the 40% conversion improvement is derived from a single-component LSS study (Bossini et al., 2023) that did not include the AI social media monitoring, adaptive psychosocial screening, or velocity monitoring components. Full PDLM deployment with all eight AI stages is modeled to produce compounding improvements beyond 24 months as the Closed-Loop Refinement system accumulates data. Second, the baseline inquiry volume will itself increase as Stages 1 and 2 deploy AI-guided outreach to currently underserved communities — particularly in the high-ESRD-burden states where the gap between potential donor supply and realized donation is largest. The 2,490 projection assumes constant inquiry volume with improved retention. In reality, improved inquiry volume from AI-targeted outreach will compound the conversion rate improvement to produce a larger total gain.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equity dimension of the impact projection deserves explicit quantification. If the 2,490 additional donors projected at 24 months are distributed with equity-correcting proportionality — meaning that the populations most underrepresented in current LDKT (Black, Hispanic, lower-income, and rural donors) receive disproportionately more of the benefit — the waitlist mortality impact concentrates in the populations currently experiencing the longest wait times and highest pretransplant mortality rates. The SRTR documents that pretransplant mortality varies substantially by donation service area and blood type; equity-corrected donor distribution produces mortality reduction that is not merely proportional but targeted toward the highest-burden populations. AI's capacity to deliver precision-targeted outreach and support to underserved communities is not just an operational efficiency; it is an equity multiplier that directs the additional donor supply generated by Project Donor-Flow toward the patients who need it most.</w:t>
      </w:r>
    </w:p>
    <w:p>
      <w:pPr>
        <w:spacing w:after="80" w:before="0"/>
      </w:pPr>
    </w:p>
    <w:p>
      <w:pPr>
        <w:pStyle w:val="Heading2"/>
        <w:spacing w:after="80" w:before="320"/>
      </w:pPr>
      <w:r>
        <w:rPr>
          <w:rFonts w:ascii="Arial" w:cs="Arial" w:eastAsia="Arial" w:hAnsi="Arial"/>
          <w:b/>
          <w:bCs/>
          <w:color w:val="006B61"/>
          <w:sz w:val="25"/>
          <w:szCs w:val="25"/>
        </w:rPr>
        <w:t xml:space="preserve">7.2  The National Donor Velocity Benchmark</w:t>
      </w:r>
    </w:p>
    <w:p>
      <w:pPr>
        <w:spacing w:after="200" w:before="0" w:line="370" w:lineRule="auto"/>
        <w:jc w:val="both"/>
      </w:pPr>
      <w:r>
        <w:rPr>
          <w:rFonts w:ascii="Arial" w:cs="Arial" w:eastAsia="Arial" w:hAnsi="Arial"/>
          <w:b w:val="false"/>
          <w:bCs w:val="false"/>
          <w:color w:val="0F1E2E"/>
          <w:sz w:val="22"/>
          <w:szCs w:val="22"/>
        </w:rPr>
        <w:t xml:space="preserve">OPTN and SRTR already collect and publish program-level outcome data annually. Project Donor-Flow proposes a complementary operational intelligence metric: the National Donor Velocity Benchmark — a standardized measure of donor evaluation throughput, DRS distribution, conversion rate, equity-adjusted completion rates by race and income, support protocol utilization, and post-donation follow-up compliance, derived from anonymized aggregated program data contributed through existing OPTN/SRTR infrastructure.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technical pathway to this benchmark is not speculative. The AI-Concierge generates the relevant operational data as a byproduct of normal operation; the pipeline from program-level data generation to OPTN/SRTR aggregate reporting requires data governance agreement and regulatory commitment, not new infrastructure. The benchmark enables accountability through transparency: when a program in Mississippi — where AKF documents zero improvement in living donor rates since 2021 — can compare its DRS distribution, velocity profile, and conversion rate against peer programs operating at 40% higher conversion with equivalent clinical staffing, the question transitions from whether improvement is possible to which AI deployment timeline the program will commit to.</w:t>
      </w:r>
    </w:p>
    <w:p>
      <w:pPr>
        <w:spacing w:after="80" w:before="0"/>
      </w:pPr>
    </w:p>
    <w:p>
      <w:pPr>
        <w:pStyle w:val="Heading2"/>
        <w:spacing w:after="80" w:before="320"/>
      </w:pPr>
      <w:r>
        <w:rPr>
          <w:rFonts w:ascii="Arial" w:cs="Arial" w:eastAsia="Arial" w:hAnsi="Arial"/>
          <w:b/>
          <w:bCs/>
          <w:color w:val="006B61"/>
          <w:sz w:val="25"/>
          <w:szCs w:val="25"/>
        </w:rPr>
        <w:t xml:space="preserve">7.3  State-Level Priority Deployment: The Five Critical States</w:t>
      </w:r>
    </w:p>
    <w:p>
      <w:pPr>
        <w:spacing w:after="200" w:before="0" w:line="370" w:lineRule="auto"/>
        <w:jc w:val="both"/>
      </w:pPr>
      <w:r>
        <w:rPr>
          <w:rFonts w:ascii="Arial" w:cs="Arial" w:eastAsia="Arial" w:hAnsi="Arial"/>
          <w:b w:val="false"/>
          <w:bCs w:val="false"/>
          <w:color w:val="0F1E2E"/>
          <w:sz w:val="22"/>
          <w:szCs w:val="22"/>
        </w:rPr>
        <w:t xml:space="preserve">CIF's integrated analysis of OPTN state data, SRTR Annual Data Reports, USRDS ESRD prevalence data, and AKF Report Card legislative grades identifies five states as requiring priority Project Donor-Flow deployment: Mississippi (AKF grade F; obesity 40.8%; diabetes 16.9%; zero improvement 2021–2023), Louisiana (AKF grade D; obesity 37.1%; no anti-discrimination law; no job protection; no direct reimbursement), Alabama (AKF grade D; obesity 36.3%; UAB nationally significant but zero state-level support infrastructure), Texas (AKF grade C; dramatic per-capita underperformance; 5.2% LDKT rate for Hispanic waitlisted patients vs. 11.4% for non-Hispanic White, Waterman et al., 2022), and Florida (CIF home state, FL-16; AKF grade C; improved post-2022 legislation but still underperforms for 3rd most populous state).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For each priority state, the Stage 1 AI population mapping generates a community-specific deployment plan: which ZIP codes receive AI-targeted awareness; which outreach channels the ML model identifies as highest-yield for that community's demographic profile; which legislative barriers need CIF advocacy; and which transplant programs within the state are the highest-priority targets for AI-Concierge deployment. This is not a national rollout strategy that treats all states as equivalent. It is a data-derived, community-specific intervention that prioritizes resources where they will produce the greatest equity-adjusted impact. The AI infrastructure makes this level of specificity feasible; without it, the analysis would require a research team and months of work. With it, it is continuously updated output.</w:t>
      </w:r>
    </w:p>
    <w:p>
      <w:r>
        <w:br w:type="page"/>
      </w:r>
    </w:p>
    <w:p>
      <w:pPr>
        <w:pStyle w:val="Heading1"/>
        <w:spacing w:after="60" w:before="520"/>
      </w:pPr>
      <w:r>
        <w:rPr>
          <w:rFonts w:ascii="Arial" w:cs="Arial" w:eastAsia="Arial" w:hAnsi="Arial"/>
          <w:b/>
          <w:bCs/>
          <w:caps/>
          <w:color w:val="0F1E2E"/>
          <w:sz w:val="30"/>
          <w:szCs w:val="30"/>
        </w:rPr>
        <w:t xml:space="preserve">VIII.  IMPLEMENTATION ROADMAP: FROM PILOT TO NATIONAL STANDARD</w:t>
      </w:r>
    </w:p>
    <w:p>
      <w:pPr>
        <w:pBdr>
          <w:bottom w:val="single" w:color="006B61" w:sz="8" w:space="1"/>
        </w:pBdr>
        <w:spacing w:after="200" w:before="0"/>
      </w:pPr>
    </w:p>
    <w:p>
      <w:pPr>
        <w:pStyle w:val="Heading2"/>
        <w:spacing w:after="80" w:before="320"/>
      </w:pPr>
      <w:r>
        <w:rPr>
          <w:rFonts w:ascii="Arial" w:cs="Arial" w:eastAsia="Arial" w:hAnsi="Arial"/>
          <w:b/>
          <w:bCs/>
          <w:color w:val="006B61"/>
          <w:sz w:val="25"/>
          <w:szCs w:val="25"/>
        </w:rPr>
        <w:t xml:space="preserve">8.1  Phase 1: Program-Level Pilot Deployment (Months 1–12)</w:t>
      </w:r>
    </w:p>
    <w:p>
      <w:pPr>
        <w:spacing w:after="200" w:before="0" w:line="370" w:lineRule="auto"/>
        <w:jc w:val="both"/>
      </w:pPr>
      <w:r>
        <w:rPr>
          <w:rFonts w:ascii="Arial" w:cs="Arial" w:eastAsia="Arial" w:hAnsi="Arial"/>
          <w:b w:val="false"/>
          <w:bCs w:val="false"/>
          <w:color w:val="0F1E2E"/>
          <w:sz w:val="22"/>
          <w:szCs w:val="22"/>
        </w:rPr>
        <w:t xml:space="preserve">The first phase of Project Donor-Flow deployment is a program-level pilot at two to three transplant centers, selected for: geographic diversity (at least one in a high-ESRD-burden priority state); donor volume sufficient to generate statistically meaningful outcomes data within 12 months (minimum 50 living donor inquiries per year); and institutional leadership commitment to the Closed-Loop data-sharing arrangement that enables DRS model refinement. The pilot phase deploys all eight AI stages with monthly performance review against DMAIC Control metrics. The primary outcome measure is donor conversion rate relative to the program's historical baseline; secondary measures include evaluation lead time, withdrawal rate by stage, DRS distribution, equity-adjusted conversion rate by race and income, and support protocol utilization rates.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pilot phase also generates the first component of the national evidence base. Every donor who completes evaluation — and every donor who withdraws, at every stage — contributes to the longitudinal outcome dataset that updates the DRS model weights. Within 12 months of pilot deployment, the DRS model will have been calibrated on real-world outcome data from the pilot programs. The protocols will have been evaluated against their velocity and conversion targets. The equity-adjusted conversion metrics will have identified which demographic subgroups are most benefiting from which specific support track interventions. This is not a research study; it is an operational deployment that generates its own evidence base as it operates.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Pilot site selection also allows for initial cross-program comparison that begins to populate the National Donor Velocity Benchmark. Even with two pilot programs, the contrast between their DRS distributions, velocity profiles, and protocol utilization rates produces the template for the standardized reporting format that will eventually include all participating programs. The data governance framework — which specifies what is collected, how it is anonymized, and how it is contributed to the aggregate benchmark — is established during Phase 1, so that Phase 2 expansion operates within an already-validated framework rather than requiring new institutional negotiations at each new program.</w:t>
      </w:r>
    </w:p>
    <w:p>
      <w:pPr>
        <w:spacing w:after="80" w:before="0"/>
      </w:pPr>
    </w:p>
    <w:p>
      <w:pPr>
        <w:pStyle w:val="Heading2"/>
        <w:spacing w:after="80" w:before="320"/>
      </w:pPr>
      <w:r>
        <w:rPr>
          <w:rFonts w:ascii="Arial" w:cs="Arial" w:eastAsia="Arial" w:hAnsi="Arial"/>
          <w:b/>
          <w:bCs/>
          <w:color w:val="006B61"/>
          <w:sz w:val="25"/>
          <w:szCs w:val="25"/>
        </w:rPr>
        <w:t xml:space="preserve">8.2  Phase 2: Regional Scaling and Benchmark Establishment (Months 12–24)</w:t>
      </w:r>
    </w:p>
    <w:p>
      <w:pPr>
        <w:spacing w:after="200" w:before="0" w:line="370" w:lineRule="auto"/>
        <w:jc w:val="both"/>
      </w:pPr>
      <w:r>
        <w:rPr>
          <w:rFonts w:ascii="Arial" w:cs="Arial" w:eastAsia="Arial" w:hAnsi="Arial"/>
          <w:b w:val="false"/>
          <w:bCs w:val="false"/>
          <w:color w:val="0F1E2E"/>
          <w:sz w:val="22"/>
          <w:szCs w:val="22"/>
        </w:rPr>
        <w:t xml:space="preserve">Phase 2 expands to 10–15 programs, with priority given to programs in the five identified critical states and programs already participating in CIF's existing advocacy and education network. Phase 2 activates the National Donor Velocity Benchmark: with sufficient participating programs contributing anonymized aggregate data, inter-program comparison becomes meaningful and the benchmark begins to function as an accountability mechanism. Programs joining in Phase 2 benefit from the DRS model already refined by Phase 1 outcomes data; their deployment begins at a higher baseline accuracy than Phase 1 programs achieved at launch.</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Phase 2 also initiates the legislative coordination component: in each priority state, CIF's advocacy work on anti-discrimination protection, job-leave guarantee, and direct donor reimbursement legislation is coordinated with Project Donor-Flow's program-level deployment, so that the operational infrastructure (AI evaluation support) and the environmental infrastructure (financial and legal protection) scale together. The combination of AI-optimized evaluation pipelines and legislative removal of upstream financial barriers is the compound intervention that produces the largest equity-adjusted impact. Neither alone is sufficient; both together are transformative.</w:t>
      </w:r>
    </w:p>
    <w:p>
      <w:pPr>
        <w:spacing w:after="80" w:before="0"/>
      </w:pPr>
    </w:p>
    <w:p>
      <w:pPr>
        <w:pStyle w:val="Heading2"/>
        <w:spacing w:after="80" w:before="320"/>
      </w:pPr>
      <w:r>
        <w:rPr>
          <w:rFonts w:ascii="Arial" w:cs="Arial" w:eastAsia="Arial" w:hAnsi="Arial"/>
          <w:b/>
          <w:bCs/>
          <w:color w:val="006B61"/>
          <w:sz w:val="25"/>
          <w:szCs w:val="25"/>
        </w:rPr>
        <w:t xml:space="preserve">8.3  Phase 3: National Standard (Months 24–36)</w:t>
      </w:r>
    </w:p>
    <w:p>
      <w:pPr>
        <w:spacing w:after="200" w:before="0" w:line="370" w:lineRule="auto"/>
        <w:jc w:val="both"/>
      </w:pPr>
      <w:r>
        <w:rPr>
          <w:rFonts w:ascii="Arial" w:cs="Arial" w:eastAsia="Arial" w:hAnsi="Arial"/>
          <w:b w:val="false"/>
          <w:bCs w:val="false"/>
          <w:color w:val="0F1E2E"/>
          <w:sz w:val="22"/>
          <w:szCs w:val="22"/>
        </w:rPr>
        <w:t xml:space="preserve">Phase 3 targets national deployment with integration into OPTN/SRTR data reporting infrastructure. The National Donor Velocity Benchmark is fully operational, updated quarterly, and published in the same format as existing SRTR program-level outcome reports. The DRS model is continuously refined by the cumulative outcome data from all participating programs. The Closed-Loop Refinement system has generated the first systematically accumulated, outcome-linked evidence base for psychosocial intervention efficacy in living donor evaluation — a dataset that directly supports HRSA, CMS, and OPTN policy reform on living donor evaluation standardization, equity requirements, and post-donation monitoring standards.</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programs that deploy Project Donor-Flow earliest are not simply adopting a better tool. They are building the evidence base that shapes what the national standard becomes. OPTN policy has historically been shaped by the evidence produced by early-adopting high-performing programs. The transplant centers that implemented paired exchange protocols, desensitization protocols for highly sensitized recipients, and donation after cardiac death protocols in their early years did not follow the national standard; they created it. Project Donor-Flow represents the same opportunity in living donor evaluation — at a moment when the published evidence base makes the case for AI-enabled optimization unanswerable and the operational architecture to act is fully specified.</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OPTN/SRTR policy pathway for formalizing the National Donor Velocity Benchmark operates through the OPTN Policy Oversight Committee and the SRTR data submission framework. CIF's legislative and regulatory advocacy work is designed to create the policy environment that makes this pathway feasible: requiring transplant programs to report donor evaluation operational metrics as a condition of OPTN certification would make participation in the benchmark mandatory rather than voluntary, and would align the accountability structure of the national transplant system with the operational intelligence that Project Donor-Flow generates. This is not an aspirational policy goal; it is the logical extension of the OPTN's existing mandate to improve access, equity, and outcomes in organ transplantation — applied to the most demonstrably correctable failure point in the living donor pipeline.</w:t>
      </w:r>
    </w:p>
    <w:p>
      <w:r>
        <w:br w:type="page"/>
      </w:r>
    </w:p>
    <w:p>
      <w:pPr>
        <w:pStyle w:val="Heading1"/>
        <w:spacing w:after="60" w:before="520"/>
      </w:pPr>
      <w:r>
        <w:rPr>
          <w:rFonts w:ascii="Arial" w:cs="Arial" w:eastAsia="Arial" w:hAnsi="Arial"/>
          <w:b/>
          <w:bCs/>
          <w:caps/>
          <w:color w:val="0F1E2E"/>
          <w:sz w:val="30"/>
          <w:szCs w:val="30"/>
        </w:rPr>
        <w:t xml:space="preserve">IX.  ETHICAL FRAMEWORK FOR AI IN LIVING DONOR PROGRAMS</w:t>
      </w:r>
    </w:p>
    <w:p>
      <w:pPr>
        <w:pBdr>
          <w:bottom w:val="single" w:color="006B61" w:sz="8" w:space="1"/>
        </w:pBdr>
        <w:spacing w:after="200" w:before="0"/>
      </w:pPr>
    </w:p>
    <w:p>
      <w:pPr>
        <w:spacing w:after="200" w:before="0" w:line="370" w:lineRule="auto"/>
        <w:jc w:val="both"/>
      </w:pPr>
      <w:r>
        <w:rPr>
          <w:rFonts w:ascii="Arial" w:cs="Arial" w:eastAsia="Arial" w:hAnsi="Arial"/>
          <w:b w:val="false"/>
          <w:bCs w:val="false"/>
          <w:color w:val="0F1E2E"/>
          <w:sz w:val="22"/>
          <w:szCs w:val="22"/>
        </w:rPr>
        <w:t xml:space="preserve">The deployment of AI in clinical settings raises ethical questions that must be addressed directly and not treated as footnotes to an operational argument. The Nawar et al. (2026) review dedicates significant attention to the ethical implications of AI in living kidney donation, and this white paper takes those implications seriously.</w:t>
      </w:r>
    </w:p>
    <w:p>
      <w:pPr>
        <w:spacing w:after="80" w:before="0"/>
      </w:pPr>
    </w:p>
    <w:p>
      <w:pPr>
        <w:pStyle w:val="Heading2"/>
        <w:spacing w:after="80" w:before="320"/>
      </w:pPr>
      <w:r>
        <w:rPr>
          <w:rFonts w:ascii="Arial" w:cs="Arial" w:eastAsia="Arial" w:hAnsi="Arial"/>
          <w:b/>
          <w:bCs/>
          <w:color w:val="006B61"/>
          <w:sz w:val="25"/>
          <w:szCs w:val="25"/>
        </w:rPr>
        <w:t xml:space="preserve">9.1  Transparency and Explainability</w:t>
      </w:r>
    </w:p>
    <w:p>
      <w:pPr>
        <w:spacing w:after="200" w:before="0" w:line="370" w:lineRule="auto"/>
        <w:jc w:val="both"/>
      </w:pPr>
      <w:r>
        <w:rPr>
          <w:rFonts w:ascii="Arial" w:cs="Arial" w:eastAsia="Arial" w:hAnsi="Arial"/>
          <w:b w:val="false"/>
          <w:bCs w:val="false"/>
          <w:color w:val="0F1E2E"/>
          <w:sz w:val="22"/>
          <w:szCs w:val="22"/>
        </w:rPr>
        <w:t xml:space="preserve">Every AI output in Project Donor-Flow is designed to be explainable to the donor and to the clinical team. The Donor Readiness Score is presented not as a black-box number but as a structured summary of the specific variables driving it — the donor sees why their DRS is what it is, and which support track they are being routed to, and why. The Donor Passport presented to clinicians is not an AI recommendation; it is an AI-organized synthesis of documented clinical and psychosocial data, with every data point traceable to its source. No AI output in Project Donor-Flow produces a clinical decision without a human review layer. The AI narrows and structures the information; the human makes the decision.</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This transparency requirement is not merely an ethical principle; it is a clinical safety principle. The Nawar et al. (2026) review notes that 'less sophisticated techniques with lower variables may be favored for interpretability, especially regarding prediction modeling such as predicting LKD outcomes.' Project Donor-Flow's model selection prioritizes interpretability at every stage where clinical decision-making depends on the output — using simpler, explainable models where transparency is required and deploying more complex models only for tasks (social media classification, velocity pattern recognition) where interpretability constraints are lower.</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social media monitoring component of Stage 2 requires particular attention to data privacy. The NLP classification system operates on publicly available social media posts — content that users have voluntarily made public. Project Donor-Flow does not collect, store, or act on private communications, private account data, or any information that requires access to non-public content. The system classifies public signals of donation intent for the purpose of directing educational outreach — functionally identical to a public health department analyzing publicly available survey data to direct educational resources toward communities with higher disease risk. This is a well-established and ethically validated public health practice. The AI classification makes it more precise; it does not change its fundamental character. Individuals who receive targeted outreach based on publicly expressed interest in donation retain full autonomy to ignore, engage with, or opt out of that outreach.</w:t>
      </w:r>
    </w:p>
    <w:p>
      <w:pPr>
        <w:spacing w:after="80" w:before="0"/>
      </w:pPr>
    </w:p>
    <w:p>
      <w:pPr>
        <w:pStyle w:val="Heading2"/>
        <w:spacing w:after="80" w:before="320"/>
      </w:pPr>
      <w:r>
        <w:rPr>
          <w:rFonts w:ascii="Arial" w:cs="Arial" w:eastAsia="Arial" w:hAnsi="Arial"/>
          <w:b/>
          <w:bCs/>
          <w:color w:val="006B61"/>
          <w:sz w:val="25"/>
          <w:szCs w:val="25"/>
        </w:rPr>
        <w:t xml:space="preserve">9.2  Equity Assurance</w:t>
      </w:r>
    </w:p>
    <w:p>
      <w:pPr>
        <w:spacing w:after="200" w:before="0" w:line="370" w:lineRule="auto"/>
        <w:jc w:val="both"/>
      </w:pPr>
      <w:r>
        <w:rPr>
          <w:rFonts w:ascii="Arial" w:cs="Arial" w:eastAsia="Arial" w:hAnsi="Arial"/>
          <w:b w:val="false"/>
          <w:bCs w:val="false"/>
          <w:color w:val="0F1E2E"/>
          <w:sz w:val="22"/>
          <w:szCs w:val="22"/>
        </w:rPr>
        <w:t xml:space="preserve">AI systems trained on historical data can encode and amplify the biases present in that data. The LDCPR's documented finding that Black race and lower educational attainment are independently associated with non-approval (Mader et al., 2024) means that any DRS model trained on historical LDCPR outcomes data without equity correction would encode these biases into future routing decisions. Project Donor-Flow addresses this directly: the DRS model is trained with equity constraints that prevent race, educational attainment, and income from serving as direct inputs to routing decisions. Equity-adjusted outcome metrics are monitored quarterly; any evidence that the DRS model is producing disparate outcomes by demographic group triggers an immediate model audit and reweighting. Equity is not monitored as an afterthought; it is the primary quality control metric of the Closed-Loop Refinement system.</w:t>
      </w:r>
    </w:p>
    <w:p>
      <w:pPr>
        <w:spacing w:after="80" w:before="0"/>
      </w:pPr>
    </w:p>
    <w:p>
      <w:pPr>
        <w:pStyle w:val="Heading2"/>
        <w:spacing w:after="80" w:before="320"/>
      </w:pPr>
      <w:r>
        <w:rPr>
          <w:rFonts w:ascii="Arial" w:cs="Arial" w:eastAsia="Arial" w:hAnsi="Arial"/>
          <w:b/>
          <w:bCs/>
          <w:color w:val="006B61"/>
          <w:sz w:val="25"/>
          <w:szCs w:val="25"/>
        </w:rPr>
        <w:t xml:space="preserve">9.3  Donor Autonomy and Informed Consent</w:t>
      </w:r>
    </w:p>
    <w:p>
      <w:pPr>
        <w:spacing w:after="200" w:before="0" w:line="370" w:lineRule="auto"/>
        <w:jc w:val="both"/>
      </w:pPr>
      <w:r>
        <w:rPr>
          <w:rFonts w:ascii="Arial" w:cs="Arial" w:eastAsia="Arial" w:hAnsi="Arial"/>
          <w:b w:val="false"/>
          <w:bCs w:val="false"/>
          <w:color w:val="0F1E2E"/>
          <w:sz w:val="22"/>
          <w:szCs w:val="22"/>
        </w:rPr>
        <w:t xml:space="preserve">The AI-Concierge is designed around a foundational principle: it serves the donor, not the transplant program. Its function is to support the donor in completing their journey — not to optimize the program's conversion metrics at the donor's expense. This distinction is operationally significant. The velocity monitoring system alerts the clinical team to a donor who may be about to withdraw — not so the team can pressure the donor to continue, but so the team can address whatever barrier is producing the stall and ensure the donor has the information and support they need to make an autonomous decision. If a donor, fully informed and supported, chooses not to donate, the system records that outcome, learns from it, and moves on. Informed withdrawal is not a system failure; it is the system working correctly. Uninformed withdrawal — driven by administrative burden, financial anxiety, or a support gap the system should have addressed — is the failure the AI architecture is designed to prevent.</w:t>
      </w:r>
    </w:p>
    <w:p>
      <w:r>
        <w:br w:type="page"/>
      </w:r>
    </w:p>
    <w:p>
      <w:pPr>
        <w:pStyle w:val="Heading1"/>
        <w:spacing w:after="60" w:before="520"/>
      </w:pPr>
      <w:r>
        <w:rPr>
          <w:rFonts w:ascii="Arial" w:cs="Arial" w:eastAsia="Arial" w:hAnsi="Arial"/>
          <w:b/>
          <w:bCs/>
          <w:caps/>
          <w:color w:val="0F1E2E"/>
          <w:sz w:val="30"/>
          <w:szCs w:val="30"/>
        </w:rPr>
        <w:t xml:space="preserve">X.  CONCLUSION: AI IS NOT THE FUTURE OF LIVING DONATION — IT IS THE PRESENT</w:t>
      </w:r>
    </w:p>
    <w:p>
      <w:pPr>
        <w:pBdr>
          <w:bottom w:val="single" w:color="006B61" w:sz="8" w:space="1"/>
        </w:pBdr>
        <w:spacing w:after="200" w:before="0"/>
      </w:pPr>
    </w:p>
    <w:p>
      <w:pPr>
        <w:spacing w:after="200" w:before="0" w:line="370" w:lineRule="auto"/>
        <w:jc w:val="both"/>
      </w:pPr>
      <w:r>
        <w:rPr>
          <w:rFonts w:ascii="Arial" w:cs="Arial" w:eastAsia="Arial" w:hAnsi="Arial"/>
          <w:b w:val="false"/>
          <w:bCs w:val="false"/>
          <w:color w:val="0F1E2E"/>
          <w:sz w:val="22"/>
          <w:szCs w:val="22"/>
        </w:rPr>
        <w:t xml:space="preserve">The living donor crisis in the United States is real, documented, quantified, and addressable. Seventeen people die every day on the kidney transplant waitlist. More than 80% of the individuals willing to donate a kidney never complete the process — not because of medical disqualification, but because the system that is supposed to support them was designed to evaluate them, and evaluation without support produces attrition. The evidence for this diagnosis is not ambiguous: it is published in peer-reviewed literature, documented in federal data reports, and confirmed by the clinical experience of the programs that have attempted to address it.</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AI tools required to close this gap are not speculative. They are documented in the published literature, validated in real-world program deployments, and synthesized in the most comprehensive review of AI in living kidney donation ever conducted (Nawar et al., 2026). Random forest population targeting, NLP-based social media donor identification, ML-driven dropout prediction, FHIR-automated clinical pre-screening, transformer-based adaptive psychosocial assessment, predictive velocity monitoring, AI-standardized MDT decision support, and time-series post-donation monitoring — each of these tools has a published evidence base. What has been missing is the integrated framework that deploys them as a coherent, end-to-end system.</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Project Donor-Flow is that framework. Its eight-stage architecture addresses every documented point of preventable attrition in the living donor pipeline. Its DMAIC backbone ensures that every AI deployment is organized around measurable outcomes and continuous improvement. Its equity architecture ensures that the populations most underrepresented in LDKT receive the most intensive support, not the least. Its Closed-Loop Refinement system means it becomes more effective with every completed case. And its National Donor Velocity Benchmark provides the transparency and accountability mechanism that makes program-level improvement into national culture change.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Cold Ischemia Foundation is positioned to advance this framework because its independence from pharmaceutical, dialysis, and insurance industry funding eliminates the structural conflicts of interest that have prevented other organizations from naming these failures and proposing solutions of this scope. The organization's founders bring lived experience that no amount of institutional research can replicate. And the integration of Project Donor-Flow with Marie's Lifeline Compensation Act addresses both the pipeline (operational) and the environment (legislative) simultaneously — the only comprehensive approach available.</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The AI evidence base for this framework is now sufficiently mature to make the case for action. The Nawar et al. (2026) Frontiers in Transplantation review synthesizes the entire published AI-in-LKD literature and confirms that the applications this framework deploys — NLP social media monitoring, ML dropout prediction, adaptive psychosocial assessment, velocity monitoring, geospatial population targeting — each have validated methodologies in the published literature. The Houston Methodist AL Awadhi et al. (2025) ML risk index study provides real-world clinical validation from a high-volume U.S. program. The ODTA (2025) AI profiling campaign provides real-world outreach validation. The Bossini et al. (2023) Lean Six Sigma LDRT study provides real-world process improvement validation. The scientific foundation is complete. The operational framework is specified. The evidence base is published. What remains is institutional will.</w:t>
      </w:r>
    </w:p>
    <w:p>
      <w:pPr>
        <w:spacing w:after="80" w:before="0"/>
      </w:pPr>
    </w:p>
    <w:p>
      <w:pPr>
        <w:spacing w:after="200" w:before="0" w:line="370" w:lineRule="auto"/>
        <w:jc w:val="both"/>
      </w:pPr>
      <w:r>
        <w:rPr>
          <w:rFonts w:ascii="Arial" w:cs="Arial" w:eastAsia="Arial" w:hAnsi="Arial"/>
          <w:b w:val="false"/>
          <w:bCs w:val="false"/>
          <w:color w:val="0F1E2E"/>
          <w:sz w:val="22"/>
          <w:szCs w:val="22"/>
        </w:rPr>
        <w:t xml:space="preserve">Institutional will, in this context, means three things: the decision by transplant program leadership to deploy AI-enabled evaluation infrastructure rather than continuing to invest exclusively in awareness campaigns that 80% of interested donors will abandon; the decision by OPTN policy committees to establish operational efficiency metrics as a component of the program accountability framework; and the decision by federal policymakers to support the legislative infrastructure — through Marie's Lifeline and similar legislation — that addresses the financial barriers operating upstream of the evaluation pipeline. Project Donor-Flow provides the operational architecture for the first decision, the evidence base for the second, and the legislative advocacy for the third. All three are advancing simultaneously. The only variable is timing.</w:t>
      </w:r>
    </w:p>
    <w:p>
      <w:pPr>
        <w:spacing w:after="80" w:before="0"/>
      </w:pPr>
    </w:p>
    <w:p>
      <w:pPr>
        <w:spacing w:after="200" w:before="0" w:line="370" w:lineRule="auto"/>
        <w:jc w:val="both"/>
      </w:pPr>
      <w:r>
        <w:rPr>
          <w:rFonts w:ascii="Arial" w:cs="Arial" w:eastAsia="Arial" w:hAnsi="Arial"/>
          <w:b/>
          <w:bCs/>
          <w:color w:val="0F1E2E"/>
          <w:sz w:val="22"/>
          <w:szCs w:val="22"/>
        </w:rPr>
        <w:t xml:space="preserve">The question for every transplant organization, every OPO, every OPTN policy committee, and every healthcare system leadership team reading this paper is not whether AI should be deployed in living donor programs. The evidence has already answered that question. The question is whether your institution will be part of building the standard, or whether you will adopt it after others have already built it.</w:t>
      </w:r>
    </w:p>
    <w:p>
      <w:pPr>
        <w:spacing w:after="80" w:before="0"/>
      </w:pPr>
    </w:p>
    <w:p>
      <w:pPr>
        <w:spacing w:after="200" w:before="0" w:line="370" w:lineRule="auto"/>
        <w:jc w:val="both"/>
      </w:pPr>
      <w:r>
        <w:rPr>
          <w:rFonts w:ascii="Arial" w:cs="Arial" w:eastAsia="Arial" w:hAnsi="Arial"/>
          <w:b/>
          <w:bCs/>
          <w:color w:val="0F1E2E"/>
          <w:sz w:val="22"/>
          <w:szCs w:val="22"/>
        </w:rPr>
        <w:t xml:space="preserve">Seventeen people will die today on the kidney transplant waitlist. AI cannot save all of them. But it can — and based on everything in this document, it demonstrably will — save more of them than the current system does. The intelligence gap is real. Project Donor-Flow closes it.</w:t>
      </w:r>
    </w:p>
    <w:p>
      <w:r>
        <w:br w:type="page"/>
      </w:r>
    </w:p>
    <w:p>
      <w:pPr>
        <w:pStyle w:val="Heading1"/>
        <w:spacing w:after="60" w:before="520"/>
      </w:pPr>
      <w:r>
        <w:rPr>
          <w:rFonts w:ascii="Arial" w:cs="Arial" w:eastAsia="Arial" w:hAnsi="Arial"/>
          <w:b/>
          <w:bCs/>
          <w:caps/>
          <w:color w:val="0F1E2E"/>
          <w:sz w:val="30"/>
          <w:szCs w:val="30"/>
        </w:rPr>
        <w:t xml:space="preserve">  WORKS CITED</w:t>
      </w:r>
    </w:p>
    <w:p>
      <w:pPr>
        <w:pBdr>
          <w:bottom w:val="single" w:color="006B61" w:sz="8" w:space="1"/>
        </w:pBdr>
        <w:spacing w:after="200" w:before="0"/>
      </w:pPr>
    </w:p>
    <w:p>
      <w:pPr>
        <w:spacing w:after="200" w:before="0" w:line="370" w:lineRule="auto"/>
        <w:jc w:val="both"/>
      </w:pPr>
      <w:r>
        <w:rPr>
          <w:rFonts w:ascii="Arial" w:cs="Arial" w:eastAsia="Arial" w:hAnsi="Arial"/>
          <w:b w:val="false"/>
          <w:bCs w:val="false"/>
          <w:color w:val="5A6E82"/>
          <w:sz w:val="22"/>
          <w:szCs w:val="22"/>
        </w:rPr>
        <w:t xml:space="preserve">All CIF analytical conclusions and framework designs are original intellectual property. Data is sourced from peer-reviewed literature and federal datasets as cited below. APA 7th Edition format.</w:t>
      </w:r>
    </w:p>
    <w:p>
      <w:pPr>
        <w:spacing w:after="120" w:before="0"/>
      </w:pPr>
    </w:p>
    <w:p>
      <w:pPr>
        <w:spacing w:after="120" w:before="0" w:line="370" w:lineRule="auto"/>
        <w:jc w:val="left"/>
      </w:pPr>
      <w:r>
        <w:rPr>
          <w:rFonts w:ascii="Arial" w:cs="Arial" w:eastAsia="Arial" w:hAnsi="Arial"/>
          <w:b/>
          <w:bCs/>
          <w:color w:val="0F1E2E"/>
          <w:sz w:val="22"/>
          <w:szCs w:val="22"/>
        </w:rPr>
        <w:t xml:space="preserve">Al Awadhi, S., Potter, T. B. H., et al. </w:t>
      </w:r>
      <w:r>
        <w:rPr>
          <w:rFonts w:ascii="Arial" w:cs="Arial" w:eastAsia="Arial" w:hAnsi="Arial"/>
          <w:b w:val="false"/>
          <w:bCs w:val="false"/>
          <w:color w:val="0F1E2E"/>
          <w:sz w:val="22"/>
          <w:szCs w:val="22"/>
        </w:rPr>
        <w:t xml:space="preserve">(2025). </w:t>
      </w:r>
      <w:r>
        <w:rPr>
          <w:rFonts w:ascii="Arial" w:cs="Arial" w:eastAsia="Arial" w:hAnsi="Arial"/>
          <w:b w:val="false"/>
          <w:bCs w:val="false"/>
          <w:color w:val="0F1E2E"/>
          <w:sz w:val="22"/>
          <w:szCs w:val="22"/>
        </w:rPr>
        <w:t xml:space="preserve">Developing and validating machine learning-driven risk indices to predict patient dropout during referral, evaluation, and waitlisting for kidney transplant. </w:t>
      </w:r>
      <w:r>
        <w:rPr>
          <w:rFonts w:ascii="Arial" w:cs="Arial" w:eastAsia="Arial" w:hAnsi="Arial"/>
          <w:b w:val="false"/>
          <w:bCs w:val="false"/>
          <w:color w:val="0F1E2E"/>
          <w:sz w:val="22"/>
          <w:szCs w:val="22"/>
        </w:rPr>
        <w:t xml:space="preserve">Clinical Transplantation, 39, </w:t>
      </w:r>
      <w:r>
        <w:rPr>
          <w:rFonts w:ascii="Arial" w:cs="Arial" w:eastAsia="Arial" w:hAnsi="Arial"/>
          <w:b w:val="false"/>
          <w:bCs w:val="false"/>
          <w:color w:val="0F1E2E"/>
          <w:sz w:val="22"/>
          <w:szCs w:val="22"/>
        </w:rPr>
        <w:t xml:space="preserve">(9), e70325. </w:t>
      </w:r>
      <w:r>
        <w:rPr>
          <w:rFonts w:ascii="Arial" w:cs="Arial" w:eastAsia="Arial" w:hAnsi="Arial"/>
          <w:b w:val="false"/>
          <w:bCs w:val="false"/>
          <w:color w:val="006B61"/>
          <w:sz w:val="20"/>
          <w:szCs w:val="20"/>
        </w:rPr>
        <w:t xml:space="preserve">https://doi.org/10.1111/ctr.70325</w:t>
      </w:r>
    </w:p>
    <w:p>
      <w:pPr>
        <w:spacing w:after="120" w:before="0" w:line="370" w:lineRule="auto"/>
        <w:jc w:val="left"/>
      </w:pPr>
      <w:r>
        <w:rPr>
          <w:rFonts w:ascii="Arial" w:cs="Arial" w:eastAsia="Arial" w:hAnsi="Arial"/>
          <w:b/>
          <w:bCs/>
          <w:color w:val="0F1E2E"/>
          <w:sz w:val="22"/>
          <w:szCs w:val="22"/>
        </w:rPr>
        <w:t xml:space="preserve">American Kidney Fund (AKF). </w:t>
      </w:r>
      <w:r>
        <w:rPr>
          <w:rFonts w:ascii="Arial" w:cs="Arial" w:eastAsia="Arial" w:hAnsi="Arial"/>
          <w:b w:val="false"/>
          <w:bCs w:val="false"/>
          <w:color w:val="0F1E2E"/>
          <w:sz w:val="22"/>
          <w:szCs w:val="22"/>
        </w:rPr>
        <w:t xml:space="preserve">(2021, 2022, 2023). </w:t>
      </w:r>
      <w:r>
        <w:rPr>
          <w:rFonts w:ascii="Arial" w:cs="Arial" w:eastAsia="Arial" w:hAnsi="Arial"/>
          <w:b w:val="false"/>
          <w:bCs w:val="false"/>
          <w:color w:val="0F1E2E"/>
          <w:sz w:val="22"/>
          <w:szCs w:val="22"/>
        </w:rPr>
        <w:t xml:space="preserve">Living Donor Protection Report Cards: State-by-State Analysis. </w:t>
      </w:r>
      <w:r>
        <w:rPr>
          <w:rFonts w:ascii="Arial" w:cs="Arial" w:eastAsia="Arial" w:hAnsi="Arial"/>
          <w:b w:val="false"/>
          <w:bCs w:val="false"/>
          <w:color w:val="0F1E2E"/>
          <w:sz w:val="22"/>
          <w:szCs w:val="22"/>
        </w:rPr>
        <w:t xml:space="preserve">American Kidney Fund.,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https://www.kidneyfund.org</w:t>
      </w:r>
    </w:p>
    <w:p>
      <w:pPr>
        <w:spacing w:after="120" w:before="0" w:line="370" w:lineRule="auto"/>
        <w:jc w:val="left"/>
      </w:pPr>
      <w:r>
        <w:rPr>
          <w:rFonts w:ascii="Arial" w:cs="Arial" w:eastAsia="Arial" w:hAnsi="Arial"/>
          <w:b/>
          <w:bCs/>
          <w:color w:val="0F1E2E"/>
          <w:sz w:val="22"/>
          <w:szCs w:val="22"/>
        </w:rPr>
        <w:t xml:space="preserve">Axelrod, D. A., Hall, E. C., Schnitzler, M. A., et al. </w:t>
      </w:r>
      <w:r>
        <w:rPr>
          <w:rFonts w:ascii="Arial" w:cs="Arial" w:eastAsia="Arial" w:hAnsi="Arial"/>
          <w:b w:val="false"/>
          <w:bCs w:val="false"/>
          <w:color w:val="0F1E2E"/>
          <w:sz w:val="22"/>
          <w:szCs w:val="22"/>
        </w:rPr>
        <w:t xml:space="preserve">(2021). </w:t>
      </w:r>
      <w:r>
        <w:rPr>
          <w:rFonts w:ascii="Arial" w:cs="Arial" w:eastAsia="Arial" w:hAnsi="Arial"/>
          <w:b w:val="false"/>
          <w:bCs w:val="false"/>
          <w:color w:val="0F1E2E"/>
          <w:sz w:val="22"/>
          <w:szCs w:val="22"/>
        </w:rPr>
        <w:t xml:space="preserve">Evaluation of community-level vulnerability and racial disparities in living donor kidney transplant. </w:t>
      </w:r>
      <w:r>
        <w:rPr>
          <w:rFonts w:ascii="Arial" w:cs="Arial" w:eastAsia="Arial" w:hAnsi="Arial"/>
          <w:b w:val="false"/>
          <w:bCs w:val="false"/>
          <w:color w:val="0F1E2E"/>
          <w:sz w:val="22"/>
          <w:szCs w:val="22"/>
        </w:rPr>
        <w:t xml:space="preserve">JAMA Surgery, 156, </w:t>
      </w:r>
      <w:r>
        <w:rPr>
          <w:rFonts w:ascii="Arial" w:cs="Arial" w:eastAsia="Arial" w:hAnsi="Arial"/>
          <w:b w:val="false"/>
          <w:bCs w:val="false"/>
          <w:color w:val="0F1E2E"/>
          <w:sz w:val="22"/>
          <w:szCs w:val="22"/>
        </w:rPr>
        <w:t xml:space="preserve">(12), e214511. </w:t>
      </w:r>
      <w:r>
        <w:rPr>
          <w:rFonts w:ascii="Arial" w:cs="Arial" w:eastAsia="Arial" w:hAnsi="Arial"/>
          <w:b w:val="false"/>
          <w:bCs w:val="false"/>
          <w:color w:val="006B61"/>
          <w:sz w:val="20"/>
          <w:szCs w:val="20"/>
        </w:rPr>
        <w:t xml:space="preserve">https://doi.org/10.1001/jamasurg.2021.4511</w:t>
      </w:r>
    </w:p>
    <w:p>
      <w:pPr>
        <w:spacing w:after="120" w:before="0" w:line="370" w:lineRule="auto"/>
        <w:jc w:val="left"/>
      </w:pPr>
      <w:r>
        <w:rPr>
          <w:rFonts w:ascii="Arial" w:cs="Arial" w:eastAsia="Arial" w:hAnsi="Arial"/>
          <w:b/>
          <w:bCs/>
          <w:color w:val="0F1E2E"/>
          <w:sz w:val="22"/>
          <w:szCs w:val="22"/>
        </w:rPr>
        <w:t xml:space="preserve">Boadu, P., McLaughlin, L., Al-Haboubi, M., et al. </w:t>
      </w:r>
      <w:r>
        <w:rPr>
          <w:rFonts w:ascii="Arial" w:cs="Arial" w:eastAsia="Arial" w:hAnsi="Arial"/>
          <w:b w:val="false"/>
          <w:bCs w:val="false"/>
          <w:color w:val="0F1E2E"/>
          <w:sz w:val="22"/>
          <w:szCs w:val="22"/>
        </w:rPr>
        <w:t xml:space="preserve">(2023). </w:t>
      </w:r>
      <w:r>
        <w:rPr>
          <w:rFonts w:ascii="Arial" w:cs="Arial" w:eastAsia="Arial" w:hAnsi="Arial"/>
          <w:b w:val="false"/>
          <w:bCs w:val="false"/>
          <w:color w:val="0F1E2E"/>
          <w:sz w:val="22"/>
          <w:szCs w:val="22"/>
        </w:rPr>
        <w:t xml:space="preserve">A machine-learning approach to estimating public intentions to become a living kidney donor in England: Evidence from repeated cross-sectional survey data. </w:t>
      </w:r>
      <w:r>
        <w:rPr>
          <w:rFonts w:ascii="Arial" w:cs="Arial" w:eastAsia="Arial" w:hAnsi="Arial"/>
          <w:b w:val="false"/>
          <w:bCs w:val="false"/>
          <w:color w:val="0F1E2E"/>
          <w:sz w:val="22"/>
          <w:szCs w:val="22"/>
        </w:rPr>
        <w:t xml:space="preserve">Frontiers in Public Health, 10, </w:t>
      </w:r>
      <w:r>
        <w:rPr>
          <w:rFonts w:ascii="Arial" w:cs="Arial" w:eastAsia="Arial" w:hAnsi="Arial"/>
          <w:b w:val="false"/>
          <w:bCs w:val="false"/>
          <w:color w:val="0F1E2E"/>
          <w:sz w:val="22"/>
          <w:szCs w:val="22"/>
        </w:rPr>
        <w:t xml:space="preserve">, 1052338. </w:t>
      </w:r>
      <w:r>
        <w:rPr>
          <w:rFonts w:ascii="Arial" w:cs="Arial" w:eastAsia="Arial" w:hAnsi="Arial"/>
          <w:b w:val="false"/>
          <w:bCs w:val="false"/>
          <w:color w:val="006B61"/>
          <w:sz w:val="20"/>
          <w:szCs w:val="20"/>
        </w:rPr>
        <w:t xml:space="preserve">https://doi.org/10.3389/fpubh.2022.1052338</w:t>
      </w:r>
    </w:p>
    <w:p>
      <w:pPr>
        <w:spacing w:after="120" w:before="0" w:line="370" w:lineRule="auto"/>
        <w:jc w:val="left"/>
      </w:pPr>
      <w:r>
        <w:rPr>
          <w:rFonts w:ascii="Arial" w:cs="Arial" w:eastAsia="Arial" w:hAnsi="Arial"/>
          <w:b/>
          <w:bCs/>
          <w:color w:val="0F1E2E"/>
          <w:sz w:val="22"/>
          <w:szCs w:val="22"/>
        </w:rPr>
        <w:t xml:space="preserve">Bossini, B., Turturici, L., Papalia, T., et al. </w:t>
      </w:r>
      <w:r>
        <w:rPr>
          <w:rFonts w:ascii="Arial" w:cs="Arial" w:eastAsia="Arial" w:hAnsi="Arial"/>
          <w:b w:val="false"/>
          <w:bCs w:val="false"/>
          <w:color w:val="0F1E2E"/>
          <w:sz w:val="22"/>
          <w:szCs w:val="22"/>
        </w:rPr>
        <w:t xml:space="preserve">(2023). </w:t>
      </w:r>
      <w:r>
        <w:rPr>
          <w:rFonts w:ascii="Arial" w:cs="Arial" w:eastAsia="Arial" w:hAnsi="Arial"/>
          <w:b w:val="false"/>
          <w:bCs w:val="false"/>
          <w:color w:val="0F1E2E"/>
          <w:sz w:val="22"/>
          <w:szCs w:val="22"/>
        </w:rPr>
        <w:t xml:space="preserve">Process control: simply a matter of efficiency or of survival and costs? A single-centre quality improvement project in living donor renal transplant. </w:t>
      </w:r>
      <w:r>
        <w:rPr>
          <w:rFonts w:ascii="Arial" w:cs="Arial" w:eastAsia="Arial" w:hAnsi="Arial"/>
          <w:b w:val="false"/>
          <w:bCs w:val="false"/>
          <w:color w:val="0F1E2E"/>
          <w:sz w:val="22"/>
          <w:szCs w:val="22"/>
        </w:rPr>
        <w:t xml:space="preserve">BMC Nephrology, 24, </w:t>
      </w:r>
      <w:r>
        <w:rPr>
          <w:rFonts w:ascii="Arial" w:cs="Arial" w:eastAsia="Arial" w:hAnsi="Arial"/>
          <w:b w:val="false"/>
          <w:bCs w:val="false"/>
          <w:color w:val="0F1E2E"/>
          <w:sz w:val="22"/>
          <w:szCs w:val="22"/>
        </w:rPr>
        <w:t xml:space="preserve">(1), 42. </w:t>
      </w:r>
      <w:r>
        <w:rPr>
          <w:rFonts w:ascii="Arial" w:cs="Arial" w:eastAsia="Arial" w:hAnsi="Arial"/>
          <w:b w:val="false"/>
          <w:bCs w:val="false"/>
          <w:color w:val="006B61"/>
          <w:sz w:val="20"/>
          <w:szCs w:val="20"/>
        </w:rPr>
        <w:t xml:space="preserve">https://doi.org/10.1186/s12882-023-03093-6</w:t>
      </w:r>
    </w:p>
    <w:p>
      <w:pPr>
        <w:spacing w:after="120" w:before="0" w:line="370" w:lineRule="auto"/>
        <w:jc w:val="left"/>
      </w:pPr>
      <w:r>
        <w:rPr>
          <w:rFonts w:ascii="Arial" w:cs="Arial" w:eastAsia="Arial" w:hAnsi="Arial"/>
          <w:b/>
          <w:bCs/>
          <w:color w:val="0F1E2E"/>
          <w:sz w:val="22"/>
          <w:szCs w:val="22"/>
        </w:rPr>
        <w:t xml:space="preserve">Buse, S., McLean, A., Muthusamy, A., et al. </w:t>
      </w:r>
      <w:r>
        <w:rPr>
          <w:rFonts w:ascii="Arial" w:cs="Arial" w:eastAsia="Arial" w:hAnsi="Arial"/>
          <w:b w:val="false"/>
          <w:bCs w:val="false"/>
          <w:color w:val="0F1E2E"/>
          <w:sz w:val="22"/>
          <w:szCs w:val="22"/>
        </w:rPr>
        <w:t xml:space="preserve">(2024). </w:t>
      </w:r>
      <w:r>
        <w:rPr>
          <w:rFonts w:ascii="Arial" w:cs="Arial" w:eastAsia="Arial" w:hAnsi="Arial"/>
          <w:b w:val="false"/>
          <w:bCs w:val="false"/>
          <w:color w:val="0F1E2E"/>
          <w:sz w:val="22"/>
          <w:szCs w:val="22"/>
        </w:rPr>
        <w:t xml:space="preserve">Comparison of outcomes after living and deceased donor kidney transplantation: UK national cohort study. </w:t>
      </w:r>
      <w:r>
        <w:rPr>
          <w:rFonts w:ascii="Arial" w:cs="Arial" w:eastAsia="Arial" w:hAnsi="Arial"/>
          <w:b w:val="false"/>
          <w:bCs w:val="false"/>
          <w:color w:val="0F1E2E"/>
          <w:sz w:val="22"/>
          <w:szCs w:val="22"/>
        </w:rPr>
        <w:t xml:space="preserve">British Journal of Surgery, 111, </w:t>
      </w:r>
      <w:r>
        <w:rPr>
          <w:rFonts w:ascii="Arial" w:cs="Arial" w:eastAsia="Arial" w:hAnsi="Arial"/>
          <w:b w:val="false"/>
          <w:bCs w:val="false"/>
          <w:color w:val="0F1E2E"/>
          <w:sz w:val="22"/>
          <w:szCs w:val="22"/>
        </w:rPr>
        <w:t xml:space="preserve">(8), znae189. </w:t>
      </w:r>
      <w:r>
        <w:rPr>
          <w:rFonts w:ascii="Arial" w:cs="Arial" w:eastAsia="Arial" w:hAnsi="Arial"/>
          <w:b w:val="false"/>
          <w:bCs w:val="false"/>
          <w:color w:val="006B61"/>
          <w:sz w:val="20"/>
          <w:szCs w:val="20"/>
        </w:rPr>
        <w:t xml:space="preserve">https://doi.org/10.1093/bjs/znae189</w:t>
      </w:r>
    </w:p>
    <w:p>
      <w:pPr>
        <w:spacing w:after="120" w:before="0" w:line="370" w:lineRule="auto"/>
        <w:jc w:val="left"/>
      </w:pPr>
      <w:r>
        <w:rPr>
          <w:rFonts w:ascii="Arial" w:cs="Arial" w:eastAsia="Arial" w:hAnsi="Arial"/>
          <w:b/>
          <w:bCs/>
          <w:color w:val="0F1E2E"/>
          <w:sz w:val="22"/>
          <w:szCs w:val="22"/>
        </w:rPr>
        <w:t xml:space="preserve">Centers for Medicare &amp; Medicaid Services (CMS). </w:t>
      </w:r>
      <w:r>
        <w:rPr>
          <w:rFonts w:ascii="Arial" w:cs="Arial" w:eastAsia="Arial" w:hAnsi="Arial"/>
          <w:b w:val="false"/>
          <w:bCs w:val="false"/>
          <w:color w:val="0F1E2E"/>
          <w:sz w:val="22"/>
          <w:szCs w:val="22"/>
        </w:rPr>
        <w:t xml:space="preserve">(October 2023). </w:t>
      </w:r>
      <w:r>
        <w:rPr>
          <w:rFonts w:ascii="Arial" w:cs="Arial" w:eastAsia="Arial" w:hAnsi="Arial"/>
          <w:b w:val="false"/>
          <w:bCs w:val="false"/>
          <w:color w:val="0F1E2E"/>
          <w:sz w:val="22"/>
          <w:szCs w:val="22"/>
        </w:rPr>
        <w:t xml:space="preserve">Calendar Year 2024 ESRD Prospective Payment System Final Rule (CMS-1782-F). </w:t>
      </w:r>
      <w:r>
        <w:rPr>
          <w:rFonts w:ascii="Arial" w:cs="Arial" w:eastAsia="Arial" w:hAnsi="Arial"/>
          <w:b w:val="false"/>
          <w:bCs w:val="false"/>
          <w:color w:val="0F1E2E"/>
          <w:sz w:val="22"/>
          <w:szCs w:val="22"/>
        </w:rPr>
        <w:t xml:space="preserve">Federal Register.,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https://www.cms.gov/newsroom/fact-sheets/calendar-year-2024-esrd-pps-final-rule</w:t>
      </w:r>
    </w:p>
    <w:p>
      <w:pPr>
        <w:spacing w:after="120" w:before="0" w:line="370" w:lineRule="auto"/>
        <w:jc w:val="left"/>
      </w:pPr>
      <w:r>
        <w:rPr>
          <w:rFonts w:ascii="Arial" w:cs="Arial" w:eastAsia="Arial" w:hAnsi="Arial"/>
          <w:b/>
          <w:bCs/>
          <w:color w:val="0F1E2E"/>
          <w:sz w:val="22"/>
          <w:szCs w:val="22"/>
        </w:rPr>
        <w:t xml:space="preserve">Clifton, E., Windler, G. S., Lentine, K., et al. </w:t>
      </w:r>
      <w:r>
        <w:rPr>
          <w:rFonts w:ascii="Arial" w:cs="Arial" w:eastAsia="Arial" w:hAnsi="Arial"/>
          <w:b w:val="false"/>
          <w:bCs w:val="false"/>
          <w:color w:val="0F1E2E"/>
          <w:sz w:val="22"/>
          <w:szCs w:val="22"/>
        </w:rPr>
        <w:t xml:space="preserve">(2024). </w:t>
      </w:r>
      <w:r>
        <w:rPr>
          <w:rFonts w:ascii="Arial" w:cs="Arial" w:eastAsia="Arial" w:hAnsi="Arial"/>
          <w:b w:val="false"/>
          <w:bCs w:val="false"/>
          <w:color w:val="0F1E2E"/>
          <w:sz w:val="22"/>
          <w:szCs w:val="22"/>
        </w:rPr>
        <w:t xml:space="preserve">The psychosocial evaluation of living kidney donation: Time for standardization in practice. </w:t>
      </w:r>
      <w:r>
        <w:rPr>
          <w:rFonts w:ascii="Arial" w:cs="Arial" w:eastAsia="Arial" w:hAnsi="Arial"/>
          <w:b w:val="false"/>
          <w:bCs w:val="false"/>
          <w:color w:val="0F1E2E"/>
          <w:sz w:val="22"/>
          <w:szCs w:val="22"/>
        </w:rPr>
        <w:t xml:space="preserve">Transplantation.,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https://pmc.ncbi.nlm.nih.gov/articles/PMC11518646/</w:t>
      </w:r>
    </w:p>
    <w:p>
      <w:pPr>
        <w:spacing w:after="120" w:before="0" w:line="370" w:lineRule="auto"/>
        <w:jc w:val="left"/>
      </w:pPr>
      <w:r>
        <w:rPr>
          <w:rFonts w:ascii="Arial" w:cs="Arial" w:eastAsia="Arial" w:hAnsi="Arial"/>
          <w:b/>
          <w:bCs/>
          <w:color w:val="0F1E2E"/>
          <w:sz w:val="22"/>
          <w:szCs w:val="22"/>
        </w:rPr>
        <w:t xml:space="preserve">Lam, N. N., Lentine, K. L., Garg, A. X., &amp; Storsley, L. </w:t>
      </w:r>
      <w:r>
        <w:rPr>
          <w:rFonts w:ascii="Arial" w:cs="Arial" w:eastAsia="Arial" w:hAnsi="Arial"/>
          <w:b w:val="false"/>
          <w:bCs w:val="false"/>
          <w:color w:val="0F1E2E"/>
          <w:sz w:val="22"/>
          <w:szCs w:val="22"/>
        </w:rPr>
        <w:t xml:space="preserve">(2023). </w:t>
      </w:r>
      <w:r>
        <w:rPr>
          <w:rFonts w:ascii="Arial" w:cs="Arial" w:eastAsia="Arial" w:hAnsi="Arial"/>
          <w:b w:val="false"/>
          <w:bCs w:val="false"/>
          <w:color w:val="0F1E2E"/>
          <w:sz w:val="22"/>
          <w:szCs w:val="22"/>
        </w:rPr>
        <w:t xml:space="preserve">Reviewing racial disparities in living donor kidney transplantation: A socioecological approach. </w:t>
      </w:r>
      <w:r>
        <w:rPr>
          <w:rFonts w:ascii="Arial" w:cs="Arial" w:eastAsia="Arial" w:hAnsi="Arial"/>
          <w:b w:val="false"/>
          <w:bCs w:val="false"/>
          <w:color w:val="0F1E2E"/>
          <w:sz w:val="22"/>
          <w:szCs w:val="22"/>
        </w:rPr>
        <w:t xml:space="preserve">PMC.,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https://pmc.ncbi.nlm.nih.gov/articles/PMC10057682/</w:t>
      </w:r>
    </w:p>
    <w:p>
      <w:pPr>
        <w:spacing w:after="120" w:before="0" w:line="370" w:lineRule="auto"/>
        <w:jc w:val="left"/>
      </w:pPr>
      <w:r>
        <w:rPr>
          <w:rFonts w:ascii="Arial" w:cs="Arial" w:eastAsia="Arial" w:hAnsi="Arial"/>
          <w:b/>
          <w:bCs/>
          <w:color w:val="0F1E2E"/>
          <w:sz w:val="22"/>
          <w:szCs w:val="22"/>
        </w:rPr>
        <w:t xml:space="preserve">Lentine, K. L., Garfield, S. S., Song, H., et al. </w:t>
      </w:r>
      <w:r>
        <w:rPr>
          <w:rFonts w:ascii="Arial" w:cs="Arial" w:eastAsia="Arial" w:hAnsi="Arial"/>
          <w:b w:val="false"/>
          <w:bCs w:val="false"/>
          <w:color w:val="0F1E2E"/>
          <w:sz w:val="22"/>
          <w:szCs w:val="22"/>
        </w:rPr>
        <w:t xml:space="preserve">(2021). </w:t>
      </w:r>
      <w:r>
        <w:rPr>
          <w:rFonts w:ascii="Arial" w:cs="Arial" w:eastAsia="Arial" w:hAnsi="Arial"/>
          <w:b w:val="false"/>
          <w:bCs w:val="false"/>
          <w:color w:val="0F1E2E"/>
          <w:sz w:val="22"/>
          <w:szCs w:val="22"/>
        </w:rPr>
        <w:t xml:space="preserve">Characterization of candidates for living kidney donation who do not proceed to donation. </w:t>
      </w:r>
      <w:r>
        <w:rPr>
          <w:rFonts w:ascii="Arial" w:cs="Arial" w:eastAsia="Arial" w:hAnsi="Arial"/>
          <w:b w:val="false"/>
          <w:bCs w:val="false"/>
          <w:color w:val="0F1E2E"/>
          <w:sz w:val="22"/>
          <w:szCs w:val="22"/>
        </w:rPr>
        <w:t xml:space="preserve">American Journal of Kidney Diseases, 78, </w:t>
      </w:r>
      <w:r>
        <w:rPr>
          <w:rFonts w:ascii="Arial" w:cs="Arial" w:eastAsia="Arial" w:hAnsi="Arial"/>
          <w:b w:val="false"/>
          <w:bCs w:val="false"/>
          <w:color w:val="0F1E2E"/>
          <w:sz w:val="22"/>
          <w:szCs w:val="22"/>
        </w:rPr>
        <w:t xml:space="preserve">(3), 394–405. </w:t>
      </w:r>
      <w:r>
        <w:rPr>
          <w:rFonts w:ascii="Arial" w:cs="Arial" w:eastAsia="Arial" w:hAnsi="Arial"/>
          <w:b w:val="false"/>
          <w:bCs w:val="false"/>
          <w:color w:val="006B61"/>
          <w:sz w:val="20"/>
          <w:szCs w:val="20"/>
        </w:rPr>
        <w:t xml:space="preserve">https://doi.org/10.1053/j.ajkd.2020.11.024</w:t>
      </w:r>
    </w:p>
    <w:p>
      <w:pPr>
        <w:spacing w:after="120" w:before="0" w:line="370" w:lineRule="auto"/>
        <w:jc w:val="left"/>
      </w:pPr>
      <w:r>
        <w:rPr>
          <w:rFonts w:ascii="Arial" w:cs="Arial" w:eastAsia="Arial" w:hAnsi="Arial"/>
          <w:b/>
          <w:bCs/>
          <w:color w:val="0F1E2E"/>
          <w:sz w:val="22"/>
          <w:szCs w:val="22"/>
        </w:rPr>
        <w:t xml:space="preserve">Lentine, K. L., Smith, J. M., Lyden, G. R., et al. </w:t>
      </w:r>
      <w:r>
        <w:rPr>
          <w:rFonts w:ascii="Arial" w:cs="Arial" w:eastAsia="Arial" w:hAnsi="Arial"/>
          <w:b w:val="false"/>
          <w:bCs w:val="false"/>
          <w:color w:val="0F1E2E"/>
          <w:sz w:val="22"/>
          <w:szCs w:val="22"/>
        </w:rPr>
        <w:t xml:space="preserve">(2025, February). </w:t>
      </w:r>
      <w:r>
        <w:rPr>
          <w:rFonts w:ascii="Arial" w:cs="Arial" w:eastAsia="Arial" w:hAnsi="Arial"/>
          <w:b w:val="false"/>
          <w:bCs w:val="false"/>
          <w:color w:val="0F1E2E"/>
          <w:sz w:val="22"/>
          <w:szCs w:val="22"/>
        </w:rPr>
        <w:t xml:space="preserve">OPTN/SRTR 2023 Annual Data Report: Kidney. </w:t>
      </w:r>
      <w:r>
        <w:rPr>
          <w:rFonts w:ascii="Arial" w:cs="Arial" w:eastAsia="Arial" w:hAnsi="Arial"/>
          <w:b w:val="false"/>
          <w:bCs w:val="false"/>
          <w:color w:val="0F1E2E"/>
          <w:sz w:val="22"/>
          <w:szCs w:val="22"/>
        </w:rPr>
        <w:t xml:space="preserve">American Journal of Transplantation, 25, </w:t>
      </w:r>
      <w:r>
        <w:rPr>
          <w:rFonts w:ascii="Arial" w:cs="Arial" w:eastAsia="Arial" w:hAnsi="Arial"/>
          <w:b w:val="false"/>
          <w:bCs w:val="false"/>
          <w:color w:val="0F1E2E"/>
          <w:sz w:val="22"/>
          <w:szCs w:val="22"/>
        </w:rPr>
        <w:t xml:space="preserve">(Suppl. 1), S22–S137. </w:t>
      </w:r>
      <w:r>
        <w:rPr>
          <w:rFonts w:ascii="Arial" w:cs="Arial" w:eastAsia="Arial" w:hAnsi="Arial"/>
          <w:b w:val="false"/>
          <w:bCs w:val="false"/>
          <w:color w:val="006B61"/>
          <w:sz w:val="20"/>
          <w:szCs w:val="20"/>
        </w:rPr>
        <w:t xml:space="preserve">https://doi.org/10.1016/j.ajt.2025.01.003</w:t>
      </w:r>
    </w:p>
    <w:p>
      <w:pPr>
        <w:spacing w:after="120" w:before="0" w:line="370" w:lineRule="auto"/>
        <w:jc w:val="left"/>
      </w:pPr>
      <w:r>
        <w:rPr>
          <w:rFonts w:ascii="Arial" w:cs="Arial" w:eastAsia="Arial" w:hAnsi="Arial"/>
          <w:b/>
          <w:bCs/>
          <w:color w:val="0F1E2E"/>
          <w:sz w:val="22"/>
          <w:szCs w:val="22"/>
        </w:rPr>
        <w:t xml:space="preserve">Mader, A., Torres, H., Kim, S., et al. </w:t>
      </w:r>
      <w:r>
        <w:rPr>
          <w:rFonts w:ascii="Arial" w:cs="Arial" w:eastAsia="Arial" w:hAnsi="Arial"/>
          <w:b w:val="false"/>
          <w:bCs w:val="false"/>
          <w:color w:val="0F1E2E"/>
          <w:sz w:val="22"/>
          <w:szCs w:val="22"/>
        </w:rPr>
        <w:t xml:space="preserve">(2024). </w:t>
      </w:r>
      <w:r>
        <w:rPr>
          <w:rFonts w:ascii="Arial" w:cs="Arial" w:eastAsia="Arial" w:hAnsi="Arial"/>
          <w:b w:val="false"/>
          <w:bCs w:val="false"/>
          <w:color w:val="0F1E2E"/>
          <w:sz w:val="22"/>
          <w:szCs w:val="22"/>
        </w:rPr>
        <w:t xml:space="preserve">Psychosocial characteristics of potential and actual living kidney donors. </w:t>
      </w:r>
      <w:r>
        <w:rPr>
          <w:rFonts w:ascii="Arial" w:cs="Arial" w:eastAsia="Arial" w:hAnsi="Arial"/>
          <w:b w:val="false"/>
          <w:bCs w:val="false"/>
          <w:color w:val="0F1E2E"/>
          <w:sz w:val="22"/>
          <w:szCs w:val="22"/>
        </w:rPr>
        <w:t xml:space="preserve">BMC Nephrology, 25, </w:t>
      </w:r>
      <w:r>
        <w:rPr>
          <w:rFonts w:ascii="Arial" w:cs="Arial" w:eastAsia="Arial" w:hAnsi="Arial"/>
          <w:b w:val="false"/>
          <w:bCs w:val="false"/>
          <w:color w:val="0F1E2E"/>
          <w:sz w:val="22"/>
          <w:szCs w:val="22"/>
        </w:rPr>
        <w:t xml:space="preserve">(1), 48. </w:t>
      </w:r>
      <w:r>
        <w:rPr>
          <w:rFonts w:ascii="Arial" w:cs="Arial" w:eastAsia="Arial" w:hAnsi="Arial"/>
          <w:b w:val="false"/>
          <w:bCs w:val="false"/>
          <w:color w:val="006B61"/>
          <w:sz w:val="20"/>
          <w:szCs w:val="20"/>
        </w:rPr>
        <w:t xml:space="preserve">https://doi.org/10.1186/s12882-023-03375-z</w:t>
      </w:r>
    </w:p>
    <w:p>
      <w:pPr>
        <w:spacing w:after="120" w:before="0" w:line="370" w:lineRule="auto"/>
        <w:jc w:val="left"/>
      </w:pPr>
      <w:r>
        <w:rPr>
          <w:rFonts w:ascii="Arial" w:cs="Arial" w:eastAsia="Arial" w:hAnsi="Arial"/>
          <w:b/>
          <w:bCs/>
          <w:color w:val="0F1E2E"/>
          <w:sz w:val="22"/>
          <w:szCs w:val="22"/>
        </w:rPr>
        <w:t xml:space="preserve">Muzaale, A. D., Massie, A. B., Wang, M. C., et al. </w:t>
      </w:r>
      <w:r>
        <w:rPr>
          <w:rFonts w:ascii="Arial" w:cs="Arial" w:eastAsia="Arial" w:hAnsi="Arial"/>
          <w:b w:val="false"/>
          <w:bCs w:val="false"/>
          <w:color w:val="0F1E2E"/>
          <w:sz w:val="22"/>
          <w:szCs w:val="22"/>
        </w:rPr>
        <w:t xml:space="preserve">(2014). </w:t>
      </w:r>
      <w:r>
        <w:rPr>
          <w:rFonts w:ascii="Arial" w:cs="Arial" w:eastAsia="Arial" w:hAnsi="Arial"/>
          <w:b w:val="false"/>
          <w:bCs w:val="false"/>
          <w:color w:val="0F1E2E"/>
          <w:sz w:val="22"/>
          <w:szCs w:val="22"/>
        </w:rPr>
        <w:t xml:space="preserve">Risk of end-stage renal disease following live kidney donation. </w:t>
      </w:r>
      <w:r>
        <w:rPr>
          <w:rFonts w:ascii="Arial" w:cs="Arial" w:eastAsia="Arial" w:hAnsi="Arial"/>
          <w:b w:val="false"/>
          <w:bCs w:val="false"/>
          <w:color w:val="0F1E2E"/>
          <w:sz w:val="22"/>
          <w:szCs w:val="22"/>
        </w:rPr>
        <w:t xml:space="preserve">JAMA, 311, </w:t>
      </w:r>
      <w:r>
        <w:rPr>
          <w:rFonts w:ascii="Arial" w:cs="Arial" w:eastAsia="Arial" w:hAnsi="Arial"/>
          <w:b w:val="false"/>
          <w:bCs w:val="false"/>
          <w:color w:val="0F1E2E"/>
          <w:sz w:val="22"/>
          <w:szCs w:val="22"/>
        </w:rPr>
        <w:t xml:space="preserve">(6), 579–586. </w:t>
      </w:r>
      <w:r>
        <w:rPr>
          <w:rFonts w:ascii="Arial" w:cs="Arial" w:eastAsia="Arial" w:hAnsi="Arial"/>
          <w:b w:val="false"/>
          <w:bCs w:val="false"/>
          <w:color w:val="006B61"/>
          <w:sz w:val="20"/>
          <w:szCs w:val="20"/>
        </w:rPr>
        <w:t xml:space="preserve">https://doi.org/10.1001/jama.2013.285141</w:t>
      </w:r>
    </w:p>
    <w:p>
      <w:pPr>
        <w:spacing w:after="120" w:before="0" w:line="370" w:lineRule="auto"/>
        <w:jc w:val="left"/>
      </w:pPr>
      <w:r>
        <w:rPr>
          <w:rFonts w:ascii="Arial" w:cs="Arial" w:eastAsia="Arial" w:hAnsi="Arial"/>
          <w:b/>
          <w:bCs/>
          <w:color w:val="0F1E2E"/>
          <w:sz w:val="22"/>
          <w:szCs w:val="22"/>
        </w:rPr>
        <w:t xml:space="preserve">National Kidney Registry. </w:t>
      </w:r>
      <w:r>
        <w:rPr>
          <w:rFonts w:ascii="Arial" w:cs="Arial" w:eastAsia="Arial" w:hAnsi="Arial"/>
          <w:b w:val="false"/>
          <w:bCs w:val="false"/>
          <w:color w:val="0F1E2E"/>
          <w:sz w:val="22"/>
          <w:szCs w:val="22"/>
        </w:rPr>
        <w:t xml:space="preserve">(January 2025). </w:t>
      </w:r>
      <w:r>
        <w:rPr>
          <w:rFonts w:ascii="Arial" w:cs="Arial" w:eastAsia="Arial" w:hAnsi="Arial"/>
          <w:b w:val="false"/>
          <w:bCs w:val="false"/>
          <w:color w:val="0F1E2E"/>
          <w:sz w:val="22"/>
          <w:szCs w:val="22"/>
        </w:rPr>
        <w:t xml:space="preserve">Estimating Potential U.S. Government Cost Savings from NKR-Facilitated Transplants. </w:t>
      </w:r>
      <w:r>
        <w:rPr>
          <w:rFonts w:ascii="Arial" w:cs="Arial" w:eastAsia="Arial" w:hAnsi="Arial"/>
          <w:b w:val="false"/>
          <w:bCs w:val="false"/>
          <w:color w:val="0F1E2E"/>
          <w:sz w:val="22"/>
          <w:szCs w:val="22"/>
        </w:rPr>
        <w:t xml:space="preserve">National Kidney Registry White Paper.,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https://www.kidneyregistry.com</w:t>
      </w:r>
    </w:p>
    <w:p>
      <w:pPr>
        <w:spacing w:after="120" w:before="0" w:line="370" w:lineRule="auto"/>
        <w:jc w:val="left"/>
      </w:pPr>
      <w:r>
        <w:rPr>
          <w:rFonts w:ascii="Arial" w:cs="Arial" w:eastAsia="Arial" w:hAnsi="Arial"/>
          <w:b/>
          <w:bCs/>
          <w:color w:val="0F1E2E"/>
          <w:sz w:val="22"/>
          <w:szCs w:val="22"/>
        </w:rPr>
        <w:t xml:space="preserve">Nawar, J., Motter, J. D., Long, J. J., Sarpal, R., Segev, D. L., Mankowski, M. A., &amp; Levan, M. L. </w:t>
      </w:r>
      <w:r>
        <w:rPr>
          <w:rFonts w:ascii="Arial" w:cs="Arial" w:eastAsia="Arial" w:hAnsi="Arial"/>
          <w:b w:val="false"/>
          <w:bCs w:val="false"/>
          <w:color w:val="0F1E2E"/>
          <w:sz w:val="22"/>
          <w:szCs w:val="22"/>
        </w:rPr>
        <w:t xml:space="preserve">(2026). </w:t>
      </w:r>
      <w:r>
        <w:rPr>
          <w:rFonts w:ascii="Arial" w:cs="Arial" w:eastAsia="Arial" w:hAnsi="Arial"/>
          <w:b w:val="false"/>
          <w:bCs w:val="false"/>
          <w:color w:val="0F1E2E"/>
          <w:sz w:val="22"/>
          <w:szCs w:val="22"/>
        </w:rPr>
        <w:t xml:space="preserve">A brief review of artificial intelligence in living kidney donation. </w:t>
      </w:r>
      <w:r>
        <w:rPr>
          <w:rFonts w:ascii="Arial" w:cs="Arial" w:eastAsia="Arial" w:hAnsi="Arial"/>
          <w:b w:val="false"/>
          <w:bCs w:val="false"/>
          <w:color w:val="0F1E2E"/>
          <w:sz w:val="22"/>
          <w:szCs w:val="22"/>
        </w:rPr>
        <w:t xml:space="preserve">Frontiers in Transplantation, 38,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https://doi.org/10.3389/ti.2025.15334</w:t>
      </w:r>
    </w:p>
    <w:p>
      <w:pPr>
        <w:spacing w:after="120" w:before="0" w:line="370" w:lineRule="auto"/>
        <w:jc w:val="left"/>
      </w:pPr>
      <w:r>
        <w:rPr>
          <w:rFonts w:ascii="Arial" w:cs="Arial" w:eastAsia="Arial" w:hAnsi="Arial"/>
          <w:b/>
          <w:bCs/>
          <w:color w:val="0F1E2E"/>
          <w:sz w:val="22"/>
          <w:szCs w:val="22"/>
        </w:rPr>
        <w:t xml:space="preserve">Office of the National Coordinator for Health IT (ONC). </w:t>
      </w:r>
      <w:r>
        <w:rPr>
          <w:rFonts w:ascii="Arial" w:cs="Arial" w:eastAsia="Arial" w:hAnsi="Arial"/>
          <w:b w:val="false"/>
          <w:bCs w:val="false"/>
          <w:color w:val="0F1E2E"/>
          <w:sz w:val="22"/>
          <w:szCs w:val="22"/>
        </w:rPr>
        <w:t xml:space="preserve">(2020). </w:t>
      </w:r>
      <w:r>
        <w:rPr>
          <w:rFonts w:ascii="Arial" w:cs="Arial" w:eastAsia="Arial" w:hAnsi="Arial"/>
          <w:b w:val="false"/>
          <w:bCs w:val="false"/>
          <w:color w:val="0F1E2E"/>
          <w:sz w:val="22"/>
          <w:szCs w:val="22"/>
        </w:rPr>
        <w:t xml:space="preserve">21st Century Cures Act: Interoperability, Information Blocking, and the ONC Health IT Certification Program. </w:t>
      </w:r>
      <w:r>
        <w:rPr>
          <w:rFonts w:ascii="Arial" w:cs="Arial" w:eastAsia="Arial" w:hAnsi="Arial"/>
          <w:b w:val="false"/>
          <w:bCs w:val="false"/>
          <w:color w:val="0F1E2E"/>
          <w:sz w:val="22"/>
          <w:szCs w:val="22"/>
        </w:rPr>
        <w:t xml:space="preserve">Federal Register, 85, </w:t>
      </w:r>
      <w:r>
        <w:rPr>
          <w:rFonts w:ascii="Arial" w:cs="Arial" w:eastAsia="Arial" w:hAnsi="Arial"/>
          <w:b w:val="false"/>
          <w:bCs w:val="false"/>
          <w:color w:val="0F1E2E"/>
          <w:sz w:val="22"/>
          <w:szCs w:val="22"/>
        </w:rPr>
        <w:t xml:space="preserve">(25), 25642–25961. </w:t>
      </w:r>
      <w:r>
        <w:rPr>
          <w:rFonts w:ascii="Arial" w:cs="Arial" w:eastAsia="Arial" w:hAnsi="Arial"/>
          <w:b w:val="false"/>
          <w:bCs w:val="false"/>
          <w:color w:val="006B61"/>
          <w:sz w:val="20"/>
          <w:szCs w:val="20"/>
        </w:rPr>
        <w:t xml:space="preserve">https://www.healthit.gov</w:t>
      </w:r>
    </w:p>
    <w:p>
      <w:pPr>
        <w:spacing w:after="120" w:before="0" w:line="370" w:lineRule="auto"/>
        <w:jc w:val="left"/>
      </w:pPr>
      <w:r>
        <w:rPr>
          <w:rFonts w:ascii="Arial" w:cs="Arial" w:eastAsia="Arial" w:hAnsi="Arial"/>
          <w:b/>
          <w:bCs/>
          <w:color w:val="0F1E2E"/>
          <w:sz w:val="22"/>
          <w:szCs w:val="22"/>
        </w:rPr>
        <w:t xml:space="preserve">Organ Donation and Transplantation Alliance (ODTA). </w:t>
      </w:r>
      <w:r>
        <w:rPr>
          <w:rFonts w:ascii="Arial" w:cs="Arial" w:eastAsia="Arial" w:hAnsi="Arial"/>
          <w:b w:val="false"/>
          <w:bCs w:val="false"/>
          <w:color w:val="0F1E2E"/>
          <w:sz w:val="22"/>
          <w:szCs w:val="22"/>
        </w:rPr>
        <w:t xml:space="preserve">(2025). </w:t>
      </w:r>
      <w:r>
        <w:rPr>
          <w:rFonts w:ascii="Arial" w:cs="Arial" w:eastAsia="Arial" w:hAnsi="Arial"/>
          <w:b w:val="false"/>
          <w:bCs w:val="false"/>
          <w:color w:val="0F1E2E"/>
          <w:sz w:val="22"/>
          <w:szCs w:val="22"/>
        </w:rPr>
        <w:t xml:space="preserve">The Human Side of AI: Patient Experience and Donation. </w:t>
      </w:r>
      <w:r>
        <w:rPr>
          <w:rFonts w:ascii="Arial" w:cs="Arial" w:eastAsia="Arial" w:hAnsi="Arial"/>
          <w:b w:val="false"/>
          <w:bCs w:val="false"/>
          <w:color w:val="0F1E2E"/>
          <w:sz w:val="22"/>
          <w:szCs w:val="22"/>
        </w:rPr>
        <w:t xml:space="preserve">ODTA Insight Series.,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https://www.organdonationalliance.org/insight/the-human-side-of-ai-patient-experience-donation/</w:t>
      </w:r>
    </w:p>
    <w:p>
      <w:pPr>
        <w:spacing w:after="120" w:before="0" w:line="370" w:lineRule="auto"/>
        <w:jc w:val="left"/>
      </w:pPr>
      <w:r>
        <w:rPr>
          <w:rFonts w:ascii="Arial" w:cs="Arial" w:eastAsia="Arial" w:hAnsi="Arial"/>
          <w:b/>
          <w:bCs/>
          <w:color w:val="0F1E2E"/>
          <w:sz w:val="22"/>
          <w:szCs w:val="22"/>
        </w:rPr>
        <w:t xml:space="preserve">Organ Procurement and Transplantation Network (OPTN). </w:t>
      </w:r>
      <w:r>
        <w:rPr>
          <w:rFonts w:ascii="Arial" w:cs="Arial" w:eastAsia="Arial" w:hAnsi="Arial"/>
          <w:b w:val="false"/>
          <w:bCs w:val="false"/>
          <w:color w:val="0F1E2E"/>
          <w:sz w:val="22"/>
          <w:szCs w:val="22"/>
        </w:rPr>
        <w:t xml:space="preserve">(2024). </w:t>
      </w:r>
      <w:r>
        <w:rPr>
          <w:rFonts w:ascii="Arial" w:cs="Arial" w:eastAsia="Arial" w:hAnsi="Arial"/>
          <w:b w:val="false"/>
          <w:bCs w:val="false"/>
          <w:color w:val="0F1E2E"/>
          <w:sz w:val="22"/>
          <w:szCs w:val="22"/>
        </w:rPr>
        <w:t xml:space="preserve">Organ Donation Statistics. </w:t>
      </w:r>
      <w:r>
        <w:rPr>
          <w:rFonts w:ascii="Arial" w:cs="Arial" w:eastAsia="Arial" w:hAnsi="Arial"/>
          <w:b w:val="false"/>
          <w:bCs w:val="false"/>
          <w:color w:val="0F1E2E"/>
          <w:sz w:val="22"/>
          <w:szCs w:val="22"/>
        </w:rPr>
        <w:t xml:space="preserve">OPTN.,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https://optn.transplant.hrsa.gov</w:t>
      </w:r>
    </w:p>
    <w:p>
      <w:pPr>
        <w:spacing w:after="120" w:before="0" w:line="370" w:lineRule="auto"/>
        <w:jc w:val="left"/>
      </w:pPr>
      <w:r>
        <w:rPr>
          <w:rFonts w:ascii="Arial" w:cs="Arial" w:eastAsia="Arial" w:hAnsi="Arial"/>
          <w:b/>
          <w:bCs/>
          <w:color w:val="0F1E2E"/>
          <w:sz w:val="22"/>
          <w:szCs w:val="22"/>
        </w:rPr>
        <w:t xml:space="preserve">Ruck, J. M., Segev, D. L., &amp; McAdams-DeMarco, M. A. </w:t>
      </w:r>
      <w:r>
        <w:rPr>
          <w:rFonts w:ascii="Arial" w:cs="Arial" w:eastAsia="Arial" w:hAnsi="Arial"/>
          <w:b w:val="false"/>
          <w:bCs w:val="false"/>
          <w:color w:val="0F1E2E"/>
          <w:sz w:val="22"/>
          <w:szCs w:val="22"/>
        </w:rPr>
        <w:t xml:space="preserve">(2025). </w:t>
      </w:r>
      <w:r>
        <w:rPr>
          <w:rFonts w:ascii="Arial" w:cs="Arial" w:eastAsia="Arial" w:hAnsi="Arial"/>
          <w:b w:val="false"/>
          <w:bCs w:val="false"/>
          <w:color w:val="0F1E2E"/>
          <w:sz w:val="22"/>
          <w:szCs w:val="22"/>
        </w:rPr>
        <w:t xml:space="preserve">Psychosocial impact of being denied as a living kidney donor. </w:t>
      </w:r>
      <w:r>
        <w:rPr>
          <w:rFonts w:ascii="Arial" w:cs="Arial" w:eastAsia="Arial" w:hAnsi="Arial"/>
          <w:b w:val="false"/>
          <w:bCs w:val="false"/>
          <w:color w:val="0F1E2E"/>
          <w:sz w:val="22"/>
          <w:szCs w:val="22"/>
        </w:rPr>
        <w:t xml:space="preserve">Transplantation.,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https://doi.org/10.1016/j.transproceed.2025.09.001</w:t>
      </w:r>
    </w:p>
    <w:p>
      <w:pPr>
        <w:spacing w:after="120" w:before="0" w:line="370" w:lineRule="auto"/>
        <w:jc w:val="left"/>
      </w:pPr>
      <w:r>
        <w:rPr>
          <w:rFonts w:ascii="Arial" w:cs="Arial" w:eastAsia="Arial" w:hAnsi="Arial"/>
          <w:b/>
          <w:bCs/>
          <w:color w:val="0F1E2E"/>
          <w:sz w:val="22"/>
          <w:szCs w:val="22"/>
        </w:rPr>
        <w:t xml:space="preserve">Sauthier, N., Bouchakri, R., Carrier, F. M., et al. </w:t>
      </w:r>
      <w:r>
        <w:rPr>
          <w:rFonts w:ascii="Arial" w:cs="Arial" w:eastAsia="Arial" w:hAnsi="Arial"/>
          <w:b w:val="false"/>
          <w:bCs w:val="false"/>
          <w:color w:val="0F1E2E"/>
          <w:sz w:val="22"/>
          <w:szCs w:val="22"/>
        </w:rPr>
        <w:t xml:space="preserve">(2023). </w:t>
      </w:r>
      <w:r>
        <w:rPr>
          <w:rFonts w:ascii="Arial" w:cs="Arial" w:eastAsia="Arial" w:hAnsi="Arial"/>
          <w:b w:val="false"/>
          <w:bCs w:val="false"/>
          <w:color w:val="0F1E2E"/>
          <w:sz w:val="22"/>
          <w:szCs w:val="22"/>
        </w:rPr>
        <w:t xml:space="preserve">Automated screening of potential organ donors using a temporal machine learning model. </w:t>
      </w:r>
      <w:r>
        <w:rPr>
          <w:rFonts w:ascii="Arial" w:cs="Arial" w:eastAsia="Arial" w:hAnsi="Arial"/>
          <w:b w:val="false"/>
          <w:bCs w:val="false"/>
          <w:color w:val="0F1E2E"/>
          <w:sz w:val="22"/>
          <w:szCs w:val="22"/>
        </w:rPr>
        <w:t xml:space="preserve">Scientific Reports, 13, </w:t>
      </w:r>
      <w:r>
        <w:rPr>
          <w:rFonts w:ascii="Arial" w:cs="Arial" w:eastAsia="Arial" w:hAnsi="Arial"/>
          <w:b w:val="false"/>
          <w:bCs w:val="false"/>
          <w:color w:val="0F1E2E"/>
          <w:sz w:val="22"/>
          <w:szCs w:val="22"/>
        </w:rPr>
        <w:t xml:space="preserve">, 8426. </w:t>
      </w:r>
      <w:r>
        <w:rPr>
          <w:rFonts w:ascii="Arial" w:cs="Arial" w:eastAsia="Arial" w:hAnsi="Arial"/>
          <w:b w:val="false"/>
          <w:bCs w:val="false"/>
          <w:color w:val="006B61"/>
          <w:sz w:val="20"/>
          <w:szCs w:val="20"/>
        </w:rPr>
        <w:t xml:space="preserve">https://doi.org/10.1038/s41598-023-35270-w</w:t>
      </w:r>
    </w:p>
    <w:p>
      <w:pPr>
        <w:spacing w:after="120" w:before="0" w:line="370" w:lineRule="auto"/>
        <w:jc w:val="left"/>
      </w:pPr>
      <w:r>
        <w:rPr>
          <w:rFonts w:ascii="Arial" w:cs="Arial" w:eastAsia="Arial" w:hAnsi="Arial"/>
          <w:b/>
          <w:bCs/>
          <w:color w:val="0F1E2E"/>
          <w:sz w:val="22"/>
          <w:szCs w:val="22"/>
        </w:rPr>
        <w:t xml:space="preserve">United States Renal Data System (USRDS). </w:t>
      </w:r>
      <w:r>
        <w:rPr>
          <w:rFonts w:ascii="Arial" w:cs="Arial" w:eastAsia="Arial" w:hAnsi="Arial"/>
          <w:b w:val="false"/>
          <w:bCs w:val="false"/>
          <w:color w:val="0F1E2E"/>
          <w:sz w:val="22"/>
          <w:szCs w:val="22"/>
        </w:rPr>
        <w:t xml:space="preserve">(2023). </w:t>
      </w:r>
      <w:r>
        <w:rPr>
          <w:rFonts w:ascii="Arial" w:cs="Arial" w:eastAsia="Arial" w:hAnsi="Arial"/>
          <w:b w:val="false"/>
          <w:bCs w:val="false"/>
          <w:color w:val="0F1E2E"/>
          <w:sz w:val="22"/>
          <w:szCs w:val="22"/>
        </w:rPr>
        <w:t xml:space="preserve">USRDS Annual Data Report: Epidemiology of Kidney Disease in the United States. </w:t>
      </w:r>
      <w:r>
        <w:rPr>
          <w:rFonts w:ascii="Arial" w:cs="Arial" w:eastAsia="Arial" w:hAnsi="Arial"/>
          <w:b w:val="false"/>
          <w:bCs w:val="false"/>
          <w:color w:val="0F1E2E"/>
          <w:sz w:val="22"/>
          <w:szCs w:val="22"/>
        </w:rPr>
        <w:t xml:space="preserve">National Institute of Diabetes and Digestive and Kidney Diseases.,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https://usrds-adr.niddk.nih.gov</w:t>
      </w:r>
    </w:p>
    <w:p>
      <w:pPr>
        <w:spacing w:after="120" w:before="0" w:line="370" w:lineRule="auto"/>
        <w:jc w:val="left"/>
      </w:pPr>
      <w:r>
        <w:rPr>
          <w:rFonts w:ascii="Arial" w:cs="Arial" w:eastAsia="Arial" w:hAnsi="Arial"/>
          <w:b/>
          <w:bCs/>
          <w:color w:val="0F1E2E"/>
          <w:sz w:val="22"/>
          <w:szCs w:val="22"/>
        </w:rPr>
        <w:t xml:space="preserve">Waterman, A. D., Morgievich, M., &amp; Rodrigue, J. R. </w:t>
      </w:r>
      <w:r>
        <w:rPr>
          <w:rFonts w:ascii="Arial" w:cs="Arial" w:eastAsia="Arial" w:hAnsi="Arial"/>
          <w:b w:val="false"/>
          <w:bCs w:val="false"/>
          <w:color w:val="0F1E2E"/>
          <w:sz w:val="22"/>
          <w:szCs w:val="22"/>
        </w:rPr>
        <w:t xml:space="preserve">(2022). </w:t>
      </w:r>
      <w:r>
        <w:rPr>
          <w:rFonts w:ascii="Arial" w:cs="Arial" w:eastAsia="Arial" w:hAnsi="Arial"/>
          <w:b w:val="false"/>
          <w:bCs w:val="false"/>
          <w:color w:val="0F1E2E"/>
          <w:sz w:val="22"/>
          <w:szCs w:val="22"/>
        </w:rPr>
        <w:t xml:space="preserve">Impact of having potential living donors on ethnic/racial disparities in access to kidney transplantation. </w:t>
      </w:r>
      <w:r>
        <w:rPr>
          <w:rFonts w:ascii="Arial" w:cs="Arial" w:eastAsia="Arial" w:hAnsi="Arial"/>
          <w:b w:val="false"/>
          <w:bCs w:val="false"/>
          <w:color w:val="0F1E2E"/>
          <w:sz w:val="22"/>
          <w:szCs w:val="22"/>
        </w:rPr>
        <w:t xml:space="preserve">PMC., </w:t>
      </w:r>
      <w:r>
        <w:rPr>
          <w:rFonts w:ascii="Arial" w:cs="Arial" w:eastAsia="Arial" w:hAnsi="Arial"/>
          <w:b w:val="false"/>
          <w:bCs w:val="false"/>
          <w:color w:val="0F1E2E"/>
          <w:sz w:val="22"/>
          <w:szCs w:val="22"/>
        </w:rPr>
        <w:t xml:space="preserve"> </w:t>
      </w:r>
      <w:r>
        <w:rPr>
          <w:rFonts w:ascii="Arial" w:cs="Arial" w:eastAsia="Arial" w:hAnsi="Arial"/>
          <w:b w:val="false"/>
          <w:bCs w:val="false"/>
          <w:color w:val="006B61"/>
          <w:sz w:val="20"/>
          <w:szCs w:val="20"/>
        </w:rPr>
        <w:t xml:space="preserve">https://pmc.ncbi.nlm.nih.gov/articles/PMC9547969/</w:t>
      </w:r>
    </w:p>
    <w:p>
      <w:pPr>
        <w:spacing w:after="200" w:before="0"/>
      </w:pPr>
    </w:p>
    <w:p>
      <w:pPr>
        <w:pBdr>
          <w:bottom w:val="single" w:color="CCCCCC" w:sz="3" w:space="1"/>
        </w:pBdr>
        <w:spacing w:after="120" w:before="60"/>
      </w:pPr>
    </w:p>
    <w:p>
      <w:pPr>
        <w:spacing w:after="80" w:before="0"/>
      </w:pPr>
    </w:p>
    <w:p>
      <w:pPr>
        <w:spacing w:after="0" w:before="0"/>
        <w:jc w:val="center"/>
      </w:pPr>
      <w:r>
        <w:rPr>
          <w:rFonts w:ascii="Arial" w:cs="Arial" w:eastAsia="Arial" w:hAnsi="Arial"/>
          <w:b/>
          <w:bCs/>
          <w:color w:val="006B61"/>
          <w:sz w:val="18"/>
          <w:szCs w:val="18"/>
        </w:rPr>
        <w:t xml:space="preserve">© 2025 Cold Ischemia Foundation  ·  All Rights Reserved  ·  coldischemia.foundation  ·  Ellenton, Florida 34222</w:t>
      </w:r>
    </w:p>
    <w:p>
      <w:pPr>
        <w:spacing w:after="60" w:before="0"/>
      </w:pPr>
    </w:p>
    <w:p>
      <w:pPr>
        <w:spacing w:after="120" w:before="0" w:line="320" w:lineRule="auto"/>
        <w:jc w:val="both"/>
      </w:pPr>
      <w:r>
        <w:rPr>
          <w:rFonts w:ascii="Arial" w:cs="Arial" w:eastAsia="Arial" w:hAnsi="Arial"/>
          <w:color w:val="5A6E82"/>
          <w:sz w:val="19"/>
          <w:szCs w:val="19"/>
        </w:rPr>
        <w:t xml:space="preserve">This document is an original work product of the Cold Ischemia Foundation. All AI frameworks, algorithmic architectures, process maps, Donor Readiness Score designs, and analytical conclusions are CIF intellectual property. Statistical data is sourced from publicly available federal and peer-reviewed sources as cited. Licensing inquiries: coldischemia.foundation. Zero pharmaceutical, dialysis, or insurance industry funding — by founding constraint.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026"/>
      </w:tabs>
      <w:spacing w:before="0"/>
    </w:pPr>
    <w:r>
      <w:rPr>
        <w:rFonts w:ascii="Arial" w:cs="Arial" w:eastAsia="Arial" w:hAnsi="Arial"/>
        <w:b w:val="false"/>
        <w:bCs w:val="false"/>
        <w:color w:val="5A6E82"/>
        <w:sz w:val="16"/>
        <w:szCs w:val="16"/>
      </w:rPr>
      <w:t xml:space="preserve">© 2025 Cold Ischemia Foundation. All Rights Reserved.</w:t>
    </w:r>
    <w:r>
      <w:rPr>
        <w:rFonts w:ascii="Arial" w:cs="Arial" w:eastAsia="Arial" w:hAnsi="Arial"/>
        <w:b w:val="false"/>
        <w:bCs w:val="false"/>
        <w:color w:val="0F1E2E"/>
        <w:sz w:val="16"/>
        <w:szCs w:val="16"/>
      </w:rPr>
      <w:t xml:space="preserve">	</w:t>
    </w:r>
    <w:r>
      <w:rPr>
        <w:rFonts w:ascii="Arial" w:cs="Arial" w:eastAsia="Arial" w:hAnsi="Arial"/>
        <w:b w:val="false"/>
        <w:bCs w:val="false"/>
        <w:color w:val="5A6E82"/>
        <w:sz w:val="16"/>
        <w:szCs w:val="16"/>
      </w:rPr>
      <w:t xml:space="preserve">Page </w:t>
    </w:r>
    <w: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1" w:sz="4" w:space="4"/>
      </w:pBdr>
      <w:tabs>
        <w:tab w:val="right" w:pos="9026"/>
      </w:tabs>
      <w:spacing w:after="0"/>
    </w:pPr>
    <w:r>
      <w:rPr>
        <w:rFonts w:ascii="Arial" w:cs="Arial" w:eastAsia="Arial" w:hAnsi="Arial"/>
        <w:b/>
        <w:bCs/>
        <w:color w:val="006B61"/>
        <w:sz w:val="16"/>
        <w:szCs w:val="16"/>
      </w:rPr>
      <w:t xml:space="preserve">THE INTELLIGENCE GAP  |  CIF WHITE PAPER 2025</w:t>
    </w:r>
    <w:r>
      <w:rPr>
        <w:rFonts w:ascii="Arial" w:cs="Arial" w:eastAsia="Arial" w:hAnsi="Arial"/>
        <w:b w:val="false"/>
        <w:bCs w:val="false"/>
        <w:color w:val="0F1E2E"/>
        <w:sz w:val="16"/>
        <w:szCs w:val="16"/>
      </w:rPr>
      <w:t xml:space="preserve">	</w:t>
    </w:r>
    <w:r>
      <w:rPr>
        <w:rFonts w:ascii="Arial" w:cs="Arial" w:eastAsia="Arial" w:hAnsi="Arial"/>
        <w:b w:val="false"/>
        <w:bCs w:val="false"/>
        <w:color w:val="5A6E82"/>
        <w:sz w:val="16"/>
        <w:szCs w:val="16"/>
      </w:rPr>
      <w:t xml:space="preserve">Cold Ischemia Foundation  ·  coldischemia.foundation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520"/>
      <w:outlineLvl w:val="0"/>
    </w:pPr>
    <w:rPr>
      <w:rFonts w:ascii="Arial" w:cs="Arial" w:eastAsia="Arial" w:hAnsi="Arial"/>
      <w:b/>
      <w:bCs/>
      <w:color w:val="0F1E2E"/>
      <w:sz w:val="30"/>
      <w:szCs w:val="30"/>
    </w:rPr>
  </w:style>
  <w:style w:type="paragraph" w:styleId="Heading2">
    <w:name w:val="Heading 2"/>
    <w:basedOn w:val="Normal"/>
    <w:next w:val="Normal"/>
    <w:pPr>
      <w:spacing w:after="80" w:before="320"/>
      <w:outlineLvl w:val="1"/>
    </w:pPr>
    <w:rPr>
      <w:rFonts w:ascii="Arial" w:cs="Arial" w:eastAsia="Arial" w:hAnsi="Arial"/>
      <w:b/>
      <w:bCs/>
      <w:color w:val="006B61"/>
      <w:sz w:val="25"/>
      <w:szCs w:val="25"/>
    </w:rPr>
  </w:style>
  <w:style w:type="paragraph" w:styleId="Heading3">
    <w:name w:val="Heading 3"/>
    <w:basedOn w:val="Normal"/>
    <w:next w:val="Normal"/>
    <w:pPr>
      <w:spacing w:after="60" w:before="220"/>
      <w:outlineLvl w:val="2"/>
    </w:pPr>
    <w:rPr>
      <w:rFonts w:ascii="Arial" w:cs="Arial" w:eastAsia="Arial" w:hAnsi="Arial"/>
      <w:b/>
      <w:bCs/>
      <w:color w:val="3D51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2026-05-12T17:59:40.226Z</dcterms:created>
  <dcterms:modified xsi:type="dcterms:W3CDTF">2026-05-12T17:59:40.226Z</dcterms:modified>
</cp:coreProperties>
</file>

<file path=docProps/custom.xml><?xml version="1.0" encoding="utf-8"?>
<Properties xmlns="http://schemas.openxmlformats.org/officeDocument/2006/custom-properties" xmlns:vt="http://schemas.openxmlformats.org/officeDocument/2006/docPropsVTypes"/>
</file>