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rPr>
          <w:rFonts w:ascii="Arial" w:cs="Arial" w:eastAsia="Arial" w:hAnsi="Arial"/>
          <w:b w:val="false"/>
          <w:bCs w:val="false"/>
          <w:i w:val="false"/>
          <w:iCs w:val="false"/>
          <w:color w:val="1A1A1A"/>
          <w:sz w:val="22"/>
          <w:szCs w:val="22"/>
        </w:rPr>
        <w:t xml:space="preserve"> </w:t>
      </w:r>
    </w:p>
    <w:p>
      <w:pPr>
        <w:shd w:fill="B8952A" w:val="clear"/>
        <w:spacing w:after="0" w:before="0"/>
      </w:pPr>
      <w:r>
        <w:rPr>
          <w:rFonts w:ascii="Arial" w:cs="Arial" w:eastAsia="Arial" w:hAnsi="Arial"/>
          <w:b w:val="false"/>
          <w:bCs w:val="false"/>
          <w:i w:val="false"/>
          <w:iCs w:val="false"/>
          <w:color w:val="1A1A1A"/>
          <w:sz w:val="22"/>
          <w:szCs w:val="22"/>
        </w:rPr>
        <w:t xml:space="preserve"> </w:t>
      </w:r>
    </w:p>
    <w:p>
      <w:pPr>
        <w:shd w:fill="1B2A4A" w:val="clear"/>
        <w:spacing w:after="480" w:before="0"/>
      </w:pPr>
      <w:r>
        <w:rPr>
          <w:rFonts w:ascii="Arial" w:cs="Arial" w:eastAsia="Arial" w:hAnsi="Arial"/>
          <w:b w:val="false"/>
          <w:bCs w:val="false"/>
          <w:i w:val="false"/>
          <w:iCs w:val="false"/>
          <w:color w:val="1A1A1A"/>
          <w:sz w:val="22"/>
          <w:szCs w:val="22"/>
        </w:rPr>
        <w:t xml:space="preserve"> </w:t>
      </w:r>
    </w:p>
    <w:p>
      <w:pPr>
        <w:spacing w:after="60" w:before="0" w:line="280"/>
        <w:jc w:val="center"/>
      </w:pPr>
      <w:r>
        <w:rPr>
          <w:rFonts w:ascii="Arial" w:cs="Arial" w:eastAsia="Arial" w:hAnsi="Arial"/>
          <w:b/>
          <w:bCs/>
          <w:i w:val="false"/>
          <w:iCs w:val="false"/>
          <w:color w:val="B8952A"/>
          <w:sz w:val="22"/>
          <w:szCs w:val="22"/>
        </w:rPr>
        <w:t xml:space="preserve">COLD ISCHEMIA FOUNDATION</w:t>
      </w:r>
    </w:p>
    <w:p>
      <w:pPr>
        <w:spacing w:after="560" w:before="0" w:line="280"/>
        <w:jc w:val="center"/>
      </w:pPr>
      <w:r>
        <w:rPr>
          <w:rFonts w:ascii="Arial" w:cs="Arial" w:eastAsia="Arial" w:hAnsi="Arial"/>
          <w:b w:val="false"/>
          <w:bCs w:val="false"/>
          <w:i/>
          <w:iCs/>
          <w:color w:val="4A5568"/>
          <w:sz w:val="20"/>
          <w:szCs w:val="20"/>
        </w:rPr>
        <w:t xml:space="preserve">Structural Healthcare Advocacy</w:t>
      </w:r>
    </w:p>
    <w:p>
      <w:pPr>
        <w:spacing w:after="60" w:before="0" w:line="280"/>
        <w:jc w:val="center"/>
      </w:pPr>
      <w:r>
        <w:rPr>
          <w:rFonts w:ascii="Arial" w:cs="Arial" w:eastAsia="Arial" w:hAnsi="Arial"/>
          <w:b/>
          <w:bCs/>
          <w:i w:val="false"/>
          <w:iCs w:val="false"/>
          <w:color w:val="1B2A4A"/>
          <w:sz w:val="42"/>
          <w:szCs w:val="42"/>
        </w:rPr>
        <w:t xml:space="preserve">A Lean Six Sigma Methodology for Transformation</w:t>
      </w:r>
    </w:p>
    <w:p>
      <w:pPr>
        <w:spacing w:after="400" w:before="0" w:line="280"/>
        <w:jc w:val="center"/>
      </w:pPr>
      <w:r>
        <w:rPr>
          <w:rFonts w:ascii="Arial" w:cs="Arial" w:eastAsia="Arial" w:hAnsi="Arial"/>
          <w:b/>
          <w:bCs/>
          <w:i w:val="false"/>
          <w:iCs w:val="false"/>
          <w:color w:val="1B2A4A"/>
          <w:sz w:val="42"/>
          <w:szCs w:val="42"/>
        </w:rPr>
        <w:t xml:space="preserve">of the United States Solid Organ Transplant System</w:t>
      </w:r>
    </w:p>
    <w:p>
      <w:pPr>
        <w:spacing w:after="360" w:before="0"/>
        <w:jc w:val="center"/>
      </w:pPr>
      <w:r>
        <w:rPr>
          <w:rFonts w:ascii="Arial" w:cs="Arial" w:eastAsia="Arial" w:hAnsi="Arial"/>
          <w:b w:val="false"/>
          <w:bCs w:val="false"/>
          <w:i w:val="false"/>
          <w:iCs w:val="false"/>
          <w:color w:val="B8952A"/>
          <w:sz w:val="22"/>
          <w:szCs w:val="22"/>
        </w:rPr>
        <w:t xml:space="preserve">━━━━━━━━━━━━━━━━━━━━━━━━━━━━━━━━━━━━━━━━━━━━━━━━</w:t>
      </w:r>
    </w:p>
    <w:p>
      <w:pPr>
        <w:spacing w:after="80" w:before="0" w:line="280"/>
        <w:jc w:val="center"/>
      </w:pPr>
      <w:r>
        <w:rPr>
          <w:rFonts w:ascii="Arial" w:cs="Arial" w:eastAsia="Arial" w:hAnsi="Arial"/>
          <w:b w:val="false"/>
          <w:bCs w:val="false"/>
          <w:i/>
          <w:iCs/>
          <w:color w:val="4A5568"/>
          <w:sz w:val="24"/>
          <w:szCs w:val="24"/>
        </w:rPr>
        <w:t xml:space="preserve">End-to-End Process Analysis from Evaluation to Long-Term Follow-Up</w:t>
      </w:r>
    </w:p>
    <w:p>
      <w:pPr>
        <w:spacing w:after="80" w:before="0" w:line="280"/>
        <w:jc w:val="center"/>
      </w:pPr>
      <w:r>
        <w:rPr>
          <w:rFonts w:ascii="Arial" w:cs="Arial" w:eastAsia="Arial" w:hAnsi="Arial"/>
          <w:b w:val="false"/>
          <w:bCs w:val="false"/>
          <w:i/>
          <w:iCs/>
          <w:color w:val="4A5568"/>
          <w:sz w:val="24"/>
          <w:szCs w:val="24"/>
        </w:rPr>
        <w:t xml:space="preserve">with Theoretical Models of Living Donor System Failure, Evidence-Based Solutions</w:t>
      </w:r>
    </w:p>
    <w:p>
      <w:pPr>
        <w:spacing w:after="80" w:before="0" w:line="280"/>
        <w:jc w:val="center"/>
      </w:pPr>
      <w:r>
        <w:rPr>
          <w:rFonts w:ascii="Arial" w:cs="Arial" w:eastAsia="Arial" w:hAnsi="Arial"/>
          <w:b w:val="false"/>
          <w:bCs w:val="false"/>
          <w:i/>
          <w:iCs/>
          <w:color w:val="4A5568"/>
          <w:sz w:val="24"/>
          <w:szCs w:val="24"/>
        </w:rPr>
        <w:t xml:space="preserve">for OPTN and HRSA Implementation, and a Comprehensive</w:t>
      </w:r>
    </w:p>
    <w:p>
      <w:pPr>
        <w:spacing w:after="480" w:before="0" w:line="280"/>
        <w:jc w:val="center"/>
      </w:pPr>
      <w:r>
        <w:rPr>
          <w:rFonts w:ascii="Arial" w:cs="Arial" w:eastAsia="Arial" w:hAnsi="Arial"/>
          <w:b w:val="false"/>
          <w:bCs w:val="false"/>
          <w:i/>
          <w:iCs/>
          <w:color w:val="4A5568"/>
          <w:sz w:val="24"/>
          <w:szCs w:val="24"/>
        </w:rPr>
        <w:t xml:space="preserve">Policy Enforcement and Accountability Framework</w:t>
      </w:r>
    </w:p>
    <w:tbl>
      <w:tblPr>
        <w:tblW w:type="dxa" w:w="4320"/>
        <w:jc w:val="center"/>
        <w:tblBorders>
          <w:top w:val="single" w:color="auto" w:sz="4"/>
          <w:left w:val="single" w:color="auto" w:sz="4"/>
          <w:bottom w:val="single" w:color="auto" w:sz="4"/>
          <w:right w:val="single" w:color="auto" w:sz="4"/>
          <w:insideH w:val="single" w:color="auto" w:sz="4"/>
          <w:insideV w:val="single" w:color="auto" w:sz="4"/>
        </w:tblBorders>
      </w:tblPr>
      <w:tblGrid>
        <w:gridCol w:w="4320"/>
      </w:tblGrid>
      <w:tr>
        <w:trPr>
          <w:tblHeader w:val="false"/>
        </w:trPr>
        <w:tc>
          <w:tcPr>
            <w:tcW w:type="dxa" w:w="432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20"/>
                <w:szCs w:val="20"/>
              </w:rPr>
              <w:t xml:space="preserve">EXPANDED SECOND EDITION</w:t>
            </w:r>
          </w:p>
          <w:p>
            <w:pPr>
              <w:spacing w:after="160" w:before="0" w:line="280"/>
              <w:jc w:val="center"/>
            </w:pPr>
            <w:r>
              <w:rPr>
                <w:rFonts w:ascii="Arial" w:cs="Arial" w:eastAsia="Arial" w:hAnsi="Arial"/>
                <w:b w:val="false"/>
                <w:bCs w:val="false"/>
                <w:i w:val="false"/>
                <w:iCs w:val="false"/>
                <w:color w:val="FFFFFF"/>
                <w:sz w:val="18"/>
                <w:szCs w:val="18"/>
              </w:rPr>
              <w:t xml:space="preserve">Version 2.0  •  June 2026</w:t>
            </w:r>
          </w:p>
        </w:tc>
      </w:tr>
    </w:tbl>
    <w:p>
      <w:pPr>
        <w:spacing w:after="120" w:before="0" w:line="280"/>
        <w:jc w:val="left"/>
      </w:pPr>
      <w:r>
        <w:rPr>
          <w:rFonts w:ascii="Arial" w:cs="Arial" w:eastAsia="Arial" w:hAnsi="Arial"/>
          <w:b w:val="false"/>
          <w:bCs w:val="false"/>
          <w:i w:val="false"/>
          <w:iCs w:val="false"/>
          <w:color w:val="1A1A1A"/>
          <w:sz w:val="22"/>
          <w:szCs w:val="22"/>
        </w:rPr>
        <w:t xml:space="preserve"> </w:t>
      </w:r>
    </w:p>
    <w:p>
      <w:pPr>
        <w:spacing w:after="120" w:before="0" w:line="280"/>
        <w:jc w:val="left"/>
      </w:pPr>
      <w:r>
        <w:rPr>
          <w:rFonts w:ascii="Arial" w:cs="Arial" w:eastAsia="Arial" w:hAnsi="Arial"/>
          <w:b w:val="false"/>
          <w:bCs w:val="false"/>
          <w:i w:val="false"/>
          <w:iCs w:val="false"/>
          <w:color w:val="1A1A1A"/>
          <w:sz w:val="22"/>
          <w:szCs w:val="22"/>
        </w:rPr>
        <w:t xml:space="preserve"> </w:t>
      </w:r>
    </w:p>
    <w:p>
      <w:pPr>
        <w:spacing w:after="320" w:before="0"/>
        <w:jc w:val="center"/>
      </w:pPr>
      <w:r>
        <w:rPr>
          <w:rFonts w:ascii="Arial" w:cs="Arial" w:eastAsia="Arial" w:hAnsi="Arial"/>
          <w:b w:val="false"/>
          <w:bCs w:val="false"/>
          <w:i w:val="false"/>
          <w:iCs w:val="false"/>
          <w:color w:val="B8952A"/>
          <w:sz w:val="22"/>
          <w:szCs w:val="22"/>
        </w:rPr>
        <w:t xml:space="preserve">━━━━━━━━━━━━━━━━━━━━━━━━━━━━━━━━━━━━━━━━━━━━━━━━</w:t>
      </w:r>
    </w:p>
    <w:p>
      <w:pPr>
        <w:spacing w:after="80" w:before="0" w:line="280"/>
        <w:jc w:val="center"/>
      </w:pPr>
      <w:r>
        <w:rPr>
          <w:rFonts w:ascii="Arial" w:cs="Arial" w:eastAsia="Arial" w:hAnsi="Arial"/>
          <w:b w:val="false"/>
          <w:bCs w:val="false"/>
          <w:i/>
          <w:iCs/>
          <w:color w:val="4A5568"/>
          <w:sz w:val="20"/>
          <w:szCs w:val="20"/>
        </w:rPr>
        <w:t xml:space="preserve">Prepared by</w:t>
      </w:r>
    </w:p>
    <w:p>
      <w:pPr>
        <w:spacing w:after="80" w:before="0" w:line="280"/>
        <w:jc w:val="center"/>
      </w:pPr>
      <w:r>
        <w:rPr>
          <w:rFonts w:ascii="Arial" w:cs="Arial" w:eastAsia="Arial" w:hAnsi="Arial"/>
          <w:b/>
          <w:bCs/>
          <w:i w:val="false"/>
          <w:iCs w:val="false"/>
          <w:color w:val="1B2A4A"/>
          <w:sz w:val="28"/>
          <w:szCs w:val="28"/>
        </w:rPr>
        <w:t xml:space="preserve">Jeff A. Parke</w:t>
      </w:r>
    </w:p>
    <w:p>
      <w:pPr>
        <w:spacing w:after="60" w:before="0" w:line="280"/>
        <w:jc w:val="center"/>
      </w:pPr>
      <w:r>
        <w:rPr>
          <w:rFonts w:ascii="Arial" w:cs="Arial" w:eastAsia="Arial" w:hAnsi="Arial"/>
          <w:b w:val="false"/>
          <w:bCs w:val="false"/>
          <w:i w:val="false"/>
          <w:iCs w:val="false"/>
          <w:color w:val="4A5568"/>
          <w:sz w:val="20"/>
          <w:szCs w:val="20"/>
        </w:rPr>
        <w:t xml:space="preserve">Co-Founder &amp; Executive Director, Cold Ischemia Foundation</w:t>
      </w:r>
    </w:p>
    <w:p>
      <w:pPr>
        <w:spacing w:after="60" w:before="0" w:line="280"/>
        <w:jc w:val="center"/>
      </w:pPr>
      <w:r>
        <w:rPr>
          <w:rFonts w:ascii="Arial" w:cs="Arial" w:eastAsia="Arial" w:hAnsi="Arial"/>
          <w:b w:val="false"/>
          <w:bCs w:val="false"/>
          <w:i w:val="false"/>
          <w:iCs w:val="false"/>
          <w:color w:val="4A5568"/>
          <w:sz w:val="20"/>
          <w:szCs w:val="20"/>
        </w:rPr>
        <w:t xml:space="preserve">Lean Six Sigma Practitioner  |  Pharmaceutical Clinical Development Operations</w:t>
      </w:r>
    </w:p>
    <w:p>
      <w:pPr>
        <w:spacing w:after="320" w:before="0" w:line="280"/>
        <w:jc w:val="center"/>
      </w:pPr>
      <w:r>
        <w:rPr>
          <w:rFonts w:ascii="Arial" w:cs="Arial" w:eastAsia="Arial" w:hAnsi="Arial"/>
          <w:b w:val="false"/>
          <w:bCs w:val="false"/>
          <w:i/>
          <w:iCs/>
          <w:color w:val="4A5568"/>
          <w:sz w:val="20"/>
          <w:szCs w:val="20"/>
        </w:rPr>
        <w:t xml:space="preserve">Three-Time Kidney Transplant Recipient  |  Author, Unbroken: Rising Above Chronic Kidney Disease</w:t>
      </w:r>
    </w:p>
    <w:p>
      <w:pPr>
        <w:spacing w:after="80" w:before="0" w:line="280"/>
        <w:jc w:val="center"/>
      </w:pPr>
      <w:r>
        <w:rPr>
          <w:rFonts w:ascii="Arial" w:cs="Arial" w:eastAsia="Arial" w:hAnsi="Arial"/>
          <w:b w:val="false"/>
          <w:bCs w:val="false"/>
          <w:i/>
          <w:iCs/>
          <w:color w:val="4A5568"/>
          <w:sz w:val="20"/>
          <w:szCs w:val="20"/>
        </w:rPr>
        <w:t xml:space="preserve">Prepared for review and consideration by</w:t>
      </w:r>
    </w:p>
    <w:p>
      <w:pPr>
        <w:spacing w:after="60" w:before="0" w:line="280"/>
        <w:jc w:val="center"/>
      </w:pPr>
      <w:r>
        <w:rPr>
          <w:rFonts w:ascii="Arial" w:cs="Arial" w:eastAsia="Arial" w:hAnsi="Arial"/>
          <w:b/>
          <w:bCs/>
          <w:i w:val="false"/>
          <w:iCs w:val="false"/>
          <w:color w:val="1B2A4A"/>
          <w:sz w:val="20"/>
          <w:szCs w:val="20"/>
        </w:rPr>
        <w:t xml:space="preserve">Organ Procurement and Transplantation Network (OPTN) Board of Directors</w:t>
      </w:r>
    </w:p>
    <w:p>
      <w:pPr>
        <w:spacing w:after="60" w:before="0" w:line="280"/>
        <w:jc w:val="center"/>
      </w:pPr>
      <w:r>
        <w:rPr>
          <w:rFonts w:ascii="Arial" w:cs="Arial" w:eastAsia="Arial" w:hAnsi="Arial"/>
          <w:b/>
          <w:bCs/>
          <w:i w:val="false"/>
          <w:iCs w:val="false"/>
          <w:color w:val="1B2A4A"/>
          <w:sz w:val="20"/>
          <w:szCs w:val="20"/>
        </w:rPr>
        <w:t xml:space="preserve">Health Resources and Services Administration (HRSA) Organ Transplant Branch</w:t>
      </w:r>
    </w:p>
    <w:p>
      <w:pPr>
        <w:spacing w:after="60" w:before="0" w:line="280"/>
        <w:jc w:val="center"/>
      </w:pPr>
      <w:r>
        <w:rPr>
          <w:rFonts w:ascii="Arial" w:cs="Arial" w:eastAsia="Arial" w:hAnsi="Arial"/>
          <w:b/>
          <w:bCs/>
          <w:i w:val="false"/>
          <w:iCs w:val="false"/>
          <w:color w:val="1B2A4A"/>
          <w:sz w:val="20"/>
          <w:szCs w:val="20"/>
        </w:rPr>
        <w:t xml:space="preserve">Centers for Medicare &amp; Medicaid Services (CMS) Quality Division</w:t>
      </w:r>
    </w:p>
    <w:p>
      <w:pPr>
        <w:spacing w:after="320" w:before="0" w:line="280"/>
        <w:jc w:val="center"/>
      </w:pPr>
      <w:r>
        <w:rPr>
          <w:rFonts w:ascii="Arial" w:cs="Arial" w:eastAsia="Arial" w:hAnsi="Arial"/>
          <w:b w:val="false"/>
          <w:bCs w:val="false"/>
          <w:i w:val="false"/>
          <w:iCs w:val="false"/>
          <w:color w:val="4A5568"/>
          <w:sz w:val="20"/>
          <w:szCs w:val="20"/>
        </w:rPr>
        <w:t xml:space="preserve">Peer-reviewed transplantation and health policy journals</w:t>
      </w:r>
    </w:p>
    <w:p>
      <w:pPr>
        <w:shd w:fill="1B2A4A" w:val="clear"/>
        <w:spacing w:after="0" w:before="160"/>
        <w:jc w:val="center"/>
      </w:pPr>
      <w:r>
        <w:rPr>
          <w:rFonts w:ascii="Arial" w:cs="Arial" w:eastAsia="Arial" w:hAnsi="Arial"/>
          <w:b w:val="false"/>
          <w:bCs w:val="false"/>
          <w:i w:val="false"/>
          <w:iCs w:val="false"/>
          <w:color w:val="FFFFFF"/>
          <w:sz w:val="18"/>
          <w:szCs w:val="18"/>
        </w:rPr>
        <w:t xml:space="preserve">Cold Ischemia Foundation  •  Ellenton, Florida (FL-16)  •  coldischemia.foundation  •  Version 2.0  •  June 2026</w:t>
      </w:r>
    </w:p>
    <w:p>
      <w:pPr>
        <w:shd w:fill="B8952A" w:val="clear"/>
        <w:spacing w:after="0" w:before="0"/>
      </w:pPr>
      <w:r>
        <w:rPr>
          <w:rFonts w:ascii="Arial" w:cs="Arial" w:eastAsia="Arial" w:hAnsi="Arial"/>
          <w:b w:val="false"/>
          <w:bCs w:val="false"/>
          <w:i w:val="false"/>
          <w:iCs w:val="false"/>
          <w:color w:val="1A1A1A"/>
          <w:sz w:val="22"/>
          <w:szCs w:val="22"/>
        </w:rPr>
        <w:t xml:space="preserve"> </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Abstract</w:t>
      </w:r>
    </w:p>
    <w:p>
      <w:pPr>
        <w:spacing w:after="220" w:before="80" w:line="340"/>
        <w:jc w:val="both"/>
      </w:pPr>
      <w:r>
        <w:rPr>
          <w:rFonts w:ascii="Arial" w:cs="Arial" w:eastAsia="Arial" w:hAnsi="Arial"/>
          <w:b w:val="false"/>
          <w:bCs w:val="false"/>
          <w:i w:val="false"/>
          <w:iCs w:val="false"/>
          <w:color w:val="1A1A1A"/>
          <w:sz w:val="22"/>
          <w:szCs w:val="22"/>
        </w:rPr>
        <w:t xml:space="preserve">The United States solid organ transplant system, despite producing a record 49,064 transplants in 2025, faces a constellation of structural failures that compromise its capacity to meet escalating demand. More than 100,000 candidates remain on the national waiting list, with more than 90,000 awaiting a kidney. Approximately 13 Americans die each day on the kidney waiting list — a figure that has not materially declined in more than a decade despite sustained advocacy, legislative proposals, and incremental policy change. The deceased-donor kidney non-use rate climbed to 27.9 percent in 2023 and remained above 25 percent through 2025. Living donor kidney transplantation, the modality producing the longest-surviving grafts and the best recipient outcomes, contributes only approximately 22 to 24 percent of total kidney transplants annually, a share that has not meaningfully increased in more than a decade.</w:t>
      </w:r>
    </w:p>
    <w:p>
      <w:pPr>
        <w:spacing w:after="220" w:before="80" w:line="340"/>
        <w:jc w:val="both"/>
      </w:pPr>
      <w:r>
        <w:rPr>
          <w:rFonts w:ascii="Arial" w:cs="Arial" w:eastAsia="Arial" w:hAnsi="Arial"/>
          <w:b w:val="false"/>
          <w:bCs w:val="false"/>
          <w:i w:val="false"/>
          <w:iCs w:val="false"/>
          <w:color w:val="1A1A1A"/>
          <w:sz w:val="22"/>
          <w:szCs w:val="22"/>
        </w:rPr>
        <w:t xml:space="preserve">This expanded second edition applies Lean Six Sigma's DMAIC framework to the full transplant continuum, from evaluation through long-term follow-up, and introduces five additional analytical domains absent from the first edition: a comprehensive policy enforcement and accountability framework; a detailed analysis of care partner labor economics and federal recognition pathways; a cross-national benchmarking analysis against Spain, France, and Australia; a structural equity analysis with targeted remediation strategies; and an institutional resistance and change management framework. The document incorporates the most recent available data from 2025 and early 2026, including analysis of the CMS Increasing Organ Transplant Access (IOTA) Model, which launched July 1, 2025, as a six-year mandatory alternative payment model; HRSA's February 2025 formal directive to the OPTN regarding out-of-sequence allocation noncompliance; the 7.2 percent improvement in kidney discard rate observed in 2025; and the House Energy and Commerce Subcommittee hearing of July 2025 examining OPO practices.</w:t>
      </w:r>
    </w:p>
    <w:p>
      <w:pPr>
        <w:spacing w:after="220" w:before="80" w:line="340"/>
        <w:jc w:val="both"/>
      </w:pPr>
      <w:r>
        <w:rPr>
          <w:rFonts w:ascii="Arial" w:cs="Arial" w:eastAsia="Arial" w:hAnsi="Arial"/>
          <w:b w:val="false"/>
          <w:bCs w:val="false"/>
          <w:i w:val="false"/>
          <w:iCs w:val="false"/>
          <w:color w:val="1A1A1A"/>
          <w:sz w:val="22"/>
          <w:szCs w:val="22"/>
        </w:rPr>
        <w:t xml:space="preserve">Using the DMAIC framework, this document presents fourteen scientific and process visuals, including two novel Lean Six Sigma strategic tools not commonly applied in transplant literature: a Policy Deployment X-Matrix mapping eleven countermeasures against three strategic objectives and ten annual priorities, and a Multi-Generational Project Plan (MGPP) mapping three sequential generations of transplant reform from FY 2026 through FY 2032. The analysis identifies a process cycle efficiency of approximately 0.5 percent, seven categories of Muda, and a living donor pipeline in which 92.8 percent of potential donors are lost to addressable barriers before completing donation.</w:t>
      </w:r>
    </w:p>
    <w:p>
      <w:pPr>
        <w:spacing w:after="220" w:before="80" w:line="340"/>
        <w:jc w:val="both"/>
      </w:pPr>
      <w:r>
        <w:rPr>
          <w:rFonts w:ascii="Arial" w:cs="Arial" w:eastAsia="Arial" w:hAnsi="Arial"/>
          <w:b w:val="false"/>
          <w:bCs w:val="false"/>
          <w:i w:val="false"/>
          <w:iCs w:val="false"/>
          <w:color w:val="1A1A1A"/>
          <w:sz w:val="22"/>
          <w:szCs w:val="22"/>
        </w:rPr>
        <w:t xml:space="preserve">Specific evidence-based proposals include mandatory hypothermic machine perfusion for KDPI above 50 percent kidneys; an Expedited Placement Policy with statistically derived Accumulated Refusal Count triggers; full reform of the National Living Donor Assistance Center reimbursement structure; federal enactment of the Living Donor Protection Act; incorporation of the CMS IOTA Model's transplant-volume incentive architecture into permanent Conditions of Participation; and creation of a federally recognized care partner compensation pilot under CMS waiver authority. A 14-bill legislative tracker for the 119th Congress, five structural accountability mechanisms, and a phased FY 2026 through FY 2030 implementation roadmap are provided.</w:t>
      </w:r>
    </w:p>
    <w:p>
      <w:pPr>
        <w:spacing w:after="220" w:before="80" w:line="340"/>
        <w:jc w:val="both"/>
      </w:pPr>
      <w:r>
        <w:rPr>
          <w:rFonts w:ascii="Arial" w:cs="Arial" w:eastAsia="Arial" w:hAnsi="Arial"/>
          <w:b w:val="false"/>
          <w:bCs w:val="false"/>
          <w:i w:val="false"/>
          <w:iCs w:val="false"/>
          <w:color w:val="1A1A1A"/>
          <w:sz w:val="22"/>
          <w:szCs w:val="22"/>
        </w:rPr>
        <w:t xml:space="preserve">Keywords: kidney transplantation, living donor, Lean Six Sigma, DMAIC, OPTN modernization, organ allocation, cold ischemia time, value stream mapping, IOTA Model, out-of-sequence allocation, care partner economics, transplant equity, Policy Deployment X-Matrix, Multi-Generational Project Plan, OPO accountability, expedited placement.</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0"/>
        <w:gridCol w:w="1440"/>
      </w:tblGrid>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Abstract</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 Introduction and Problem Statement</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1.1 The state of the U.S. transplant system in 2026</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1.2 The IOTA Model: a new CMS architecture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1.3 Why Lean Six Sigma</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7</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1.4 Scope and contribution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7</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2. Methodological Framework</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2.1 Defining the system: SIPOC</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2.2 Current-state value stream mapping</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2.3 The DMAIC framework applied</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10</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3. Measure: Establishing the Baseline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11</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3.1 Aggregate supply and demand</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11</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3.2 Statistical process control of the non-use rate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3.3 Defects: graft survival by cold ischemia time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13</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3.4 OPO performance variation: a structural measurement failure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14</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4. Analyze: Root Cause Investigation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4.1 Ishikawa cause-and-effect: the living donor problem</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4.2 Pareto analysis of donor attrition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17</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4.3 Five-Whys: the kidney non-use rate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18</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4.4 The barrier-stack model of living donor attrition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19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4.5 Out-of-sequence allocation: a systemic compliance failure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20</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5. Improve: Countermeasure Portfolio and Future-State Design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5.1 The future-state value stream</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5.2 Countermeasure portfolio</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23</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6. Control: Sustaining Gains Through Institutionalized Measurement</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6.1 Statistical process control governance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6.2 Public performance transparency</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6.3 Standard work and Kaizen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7. Implementation Roadmap and Phasing</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27</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8. The IOTA Model: Deep Analysis and Reform Implications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8.1 IOTA architecture and payment mechanics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29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8.2 Structural limitations and unintended consequences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30</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8.3 IOTA as a reform platform</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31</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9. Cross-National Benchmarking and International Best Practice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9.1 Spain: the organizational model</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9.2 France: the regulatory model</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33</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9.3 Australia: the data-transparency model</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33</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9.4 What the U.S. can and cannot import</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34</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10. Policy Enforcement Architecture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10.1 The enforcement gap: why good policy fails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10.2 Regulatory levers: HRSA, CMS, and OPTN authority</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10.3 Legislative vehicles in the 119th Congress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37</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10.4 Novel LSS Visual I: Policy Deployment X-Matrix</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39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10.5 Accountability mechanisms that sustain reform</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40</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11. Care Partner Labor Economics and Federal Recognition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11.1 Quantifying the invisible system input</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11.2 The care partner labor invoice</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43</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11.3 Federal recognition pathways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44</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11.4 The Marie's Lifeline model</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12. Racial and Socioeconomic Equity: Structural Failures and Remediation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12.1 The equity burden: documented disparities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12.2 Systemic drivers of disparity</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47</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12.3 Targeted countermeasures with enforcement mechanisms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48</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13. Institutional Resistance and Change Management</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50</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13.1 Why the system resists reform</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50</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13.2 Force-field analysis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51</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13.3 Novel LSS Visual II: Multi-Generational Project Plan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52</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13.4 Change management in federal health systems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53</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14. Technology, Data Infrastructure, and AI Integration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14.1 Current data-system failures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55</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14.2 AI in allocation, donor matching, and quality assessment</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56</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   14.3 Interoperability requirements and federal standards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57</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15. Discussion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59</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16. Conclusion</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61</w:t>
            </w:r>
          </w:p>
        </w:tc>
      </w:tr>
      <w:tr>
        <w:trPr>
          <w:tblHeader w:val="false"/>
        </w:trPr>
        <w:tc>
          <w:tcPr>
            <w:tcW w:type="dxa" w:w="792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9"/>
                <w:szCs w:val="19"/>
              </w:rPr>
              <w:t xml:space="preserve">References</w:t>
            </w:r>
          </w:p>
        </w:tc>
        <w:tc>
          <w:tcPr>
            <w:tcW w:type="dxa" w:w="1440"/>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160" w:before="0" w:line="280"/>
              <w:jc w:val="right"/>
            </w:pPr>
            <w:r>
              <w:rPr>
                <w:rFonts w:ascii="Arial" w:cs="Arial" w:eastAsia="Arial" w:hAnsi="Arial"/>
                <w:b w:val="false"/>
                <w:bCs w:val="false"/>
                <w:i w:val="false"/>
                <w:iCs w:val="false"/>
                <w:color w:val="1A1A1A"/>
                <w:sz w:val="19"/>
                <w:szCs w:val="19"/>
              </w:rPr>
              <w:t xml:space="preserve">62</w:t>
            </w:r>
          </w:p>
        </w:tc>
      </w:tr>
    </w:tbl>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 Introduction and Problem Statement</w:t>
      </w:r>
    </w:p>
    <w:p>
      <w:pPr>
        <w:pStyle w:val="Heading2"/>
        <w:spacing w:after="160" w:before="280" w:line="280"/>
        <w:jc w:val="left"/>
      </w:pPr>
      <w:r>
        <w:rPr>
          <w:rFonts w:ascii="Arial" w:cs="Arial" w:eastAsia="Arial" w:hAnsi="Arial"/>
          <w:b/>
          <w:bCs/>
          <w:i w:val="false"/>
          <w:iCs w:val="false"/>
          <w:color w:val="1B2A4A"/>
          <w:sz w:val="25"/>
          <w:szCs w:val="25"/>
        </w:rPr>
        <w:t xml:space="preserve">1.1 The State of the U.S. Transplant System in 2026</w:t>
      </w:r>
    </w:p>
    <w:p>
      <w:pPr>
        <w:spacing w:after="220" w:before="80" w:line="340"/>
        <w:jc w:val="both"/>
      </w:pPr>
      <w:r>
        <w:rPr>
          <w:rFonts w:ascii="Arial" w:cs="Arial" w:eastAsia="Arial" w:hAnsi="Arial"/>
          <w:b w:val="false"/>
          <w:bCs w:val="false"/>
          <w:i w:val="false"/>
          <w:iCs w:val="false"/>
          <w:color w:val="1A1A1A"/>
          <w:sz w:val="22"/>
          <w:szCs w:val="22"/>
        </w:rPr>
        <w:t xml:space="preserve">By any cumulative measure, the U.S. organ transplantation enterprise has expanded markedly across the past two decades. The 2025 data released by the United Network for Organ Sharing in January 2026 indicate that 49,064 organ transplants were performed nationally — the fifth consecutive annual record. Living donation grew approximately 3 percent year-over-year, reaching 7,237 living donors. Liver transplantation reached a record 12,344 procedures, an 8 percent year-over-year increase (UNOS, 2026). Yet aggregate growth obscures structural failure.</w:t>
      </w:r>
    </w:p>
    <w:p>
      <w:pPr>
        <w:spacing w:after="220" w:before="80" w:line="340"/>
        <w:jc w:val="both"/>
      </w:pPr>
      <w:r>
        <w:rPr>
          <w:rFonts w:ascii="Arial" w:cs="Arial" w:eastAsia="Arial" w:hAnsi="Arial"/>
          <w:b w:val="false"/>
          <w:bCs w:val="false"/>
          <w:i w:val="false"/>
          <w:iCs w:val="false"/>
          <w:color w:val="1A1A1A"/>
          <w:sz w:val="22"/>
          <w:szCs w:val="22"/>
        </w:rPr>
        <w:t xml:space="preserve">Kidney transplants declined for the first time in any non-pandemic year of the 21st century: 27,573 kidney transplants were performed in 2025 — 21,052 from deceased donors and 6,521 from living donors — a net decrease of 102 from 2024 (UNOS, 2026). Deceased donations dipped by 2.5 percent, with 16,550 deceased donors, the first decline in more than a decade. The Kidney Transplant Collaborative's December 2025 analysis identified a compounding dynamic: while the kidney discard rate improved by 7.2 percent in 2025 — the first such improvement this century — the decline in deceased donations was sufficiently severe to produce an overall net decline in kidney transplants. This represents a system in which efficiency improvements in organ utilization are being outpaced by deterioration in organ supply, a pattern that is not self-correcting (Kidney Transplant Collaborative, 2025).</w:t>
      </w:r>
    </w:p>
    <w:p>
      <w:pPr>
        <w:spacing w:after="220" w:before="80" w:line="340"/>
        <w:jc w:val="both"/>
      </w:pPr>
      <w:r>
        <w:rPr>
          <w:rFonts w:ascii="Arial" w:cs="Arial" w:eastAsia="Arial" w:hAnsi="Arial"/>
          <w:b w:val="false"/>
          <w:bCs w:val="false"/>
          <w:i w:val="false"/>
          <w:iCs w:val="false"/>
          <w:color w:val="1A1A1A"/>
          <w:sz w:val="22"/>
          <w:szCs w:val="22"/>
        </w:rPr>
        <w:t xml:space="preserve">The donor pool composition continues to shift in ways that exacerbate the demand-supply mismatch. Overdose-death donors — younger and associated with favorable graft outcomes — declined from 16.7 percent of deceased donors in 2022 to 10.5 percent by the first quarter of 2025. Donation after circulatory determination of death (DCD) now constitutes nearly 50 percent of all deceased donors. These trends have structural implications: DCD kidneys carry higher rates of delayed graft function than donation after brain death (DBD) kidneys, meaning that even the existing deceased donor pool is shifting toward higher-risk organ profiles that require more sophisticated utilization strategies — including machine perfusion — to optimize outcomes.</w:t>
      </w:r>
    </w:p>
    <w:p>
      <w:pPr>
        <w:spacing w:after="220" w:before="80" w:line="340"/>
        <w:jc w:val="both"/>
      </w:pPr>
      <w:r>
        <w:rPr>
          <w:rFonts w:ascii="Arial" w:cs="Arial" w:eastAsia="Arial" w:hAnsi="Arial"/>
          <w:b w:val="false"/>
          <w:bCs w:val="false"/>
          <w:i w:val="false"/>
          <w:iCs w:val="false"/>
          <w:color w:val="1A1A1A"/>
          <w:sz w:val="22"/>
          <w:szCs w:val="22"/>
        </w:rPr>
        <w:t xml:space="preserve">In July 2025, the House Energy and Commerce Subcommittee on Oversight and Investigations held a hearing examining a widely reported incident in Kentucky in which an OPO attempted to recover a kidney from a patient who had been declared dead after cardiac arrest but later showed signs of life in the operating room — an incident first detailed by The New York Times that brought unprecedented public attention to OPO practices. The hearing, combined with May 2025 Congressional testimony on recurring problems within the OPO system including organs lost during transport and conflicts of interest, generated legislative pressure that has persisted into mid-2026 (Kidney Transplant Collaborative, 2025).</w:t>
      </w:r>
    </w:p>
    <w:p>
      <w:pPr>
        <w:spacing w:after="220" w:before="80" w:line="340"/>
        <w:jc w:val="both"/>
      </w:pPr>
      <w:r>
        <w:rPr>
          <w:rFonts w:ascii="Arial" w:cs="Arial" w:eastAsia="Arial" w:hAnsi="Arial"/>
          <w:b w:val="false"/>
          <w:bCs w:val="false"/>
          <w:i w:val="false"/>
          <w:iCs w:val="false"/>
          <w:color w:val="1A1A1A"/>
          <w:sz w:val="22"/>
          <w:szCs w:val="22"/>
        </w:rPr>
        <w:t xml:space="preserve">More than 90,000 candidates remain waitlisted for a kidney; 11.4 percent have been waiting five years or more (Lentine et al., 2025). Approximately 13 patients die each day waiting for a kidney transplant. The system, in aggregate, is producing more recovered organs but transplanting a smaller fraction of them over time, with a non-use rate that peaked at 27.9 percent in 2023 and has remained above 25 percent. Non-use rates are particularly extreme in specific donor strata: 41.4 percent for biopsied kidneys, 72.2 percent for kidneys from donors aged 65 or older, and 72.5 percent for kidneys with KDPI at or above 85 percent (Lentine et al., 2025).</w:t>
      </w:r>
    </w:p>
    <w:p>
      <w:pPr>
        <w:pStyle w:val="Heading2"/>
        <w:spacing w:after="160" w:before="280" w:line="280"/>
        <w:jc w:val="left"/>
      </w:pPr>
      <w:r>
        <w:rPr>
          <w:rFonts w:ascii="Arial" w:cs="Arial" w:eastAsia="Arial" w:hAnsi="Arial"/>
          <w:b/>
          <w:bCs/>
          <w:i w:val="false"/>
          <w:iCs w:val="false"/>
          <w:color w:val="1B2A4A"/>
          <w:sz w:val="25"/>
          <w:szCs w:val="25"/>
        </w:rPr>
        <w:t xml:space="preserve">1.2 The IOTA Model: A New CMS Architecture</w:t>
      </w:r>
    </w:p>
    <w:p>
      <w:pPr>
        <w:spacing w:after="220" w:before="80" w:line="340"/>
        <w:jc w:val="both"/>
      </w:pPr>
      <w:r>
        <w:rPr>
          <w:rFonts w:ascii="Arial" w:cs="Arial" w:eastAsia="Arial" w:hAnsi="Arial"/>
          <w:b w:val="false"/>
          <w:bCs w:val="false"/>
          <w:i w:val="false"/>
          <w:iCs w:val="false"/>
          <w:color w:val="1A1A1A"/>
          <w:sz w:val="22"/>
          <w:szCs w:val="22"/>
        </w:rPr>
        <w:t xml:space="preserve">A landmark development in the policy environment occurred on July 1, 2025, when the Centers for Medicare and Medicaid Services launched the Increasing Organ Transplant Access (IOTA) Model — a six-year mandatory alternative payment model under CMS Innovation Center authority, covering 103 kidney transplant hospitals across half of the nation's Donation Service Areas (CMS, 2025). The IOTA Model represents the most significant structural intervention in transplant center incentive design since the original Conditions of Participation were established in 2007.</w:t>
      </w:r>
    </w:p>
    <w:p>
      <w:pPr>
        <w:spacing w:after="220" w:before="80" w:line="340"/>
        <w:jc w:val="both"/>
      </w:pPr>
      <w:r>
        <w:rPr>
          <w:rFonts w:ascii="Arial" w:cs="Arial" w:eastAsia="Arial" w:hAnsi="Arial"/>
          <w:b w:val="false"/>
          <w:bCs w:val="false"/>
          <w:i w:val="false"/>
          <w:iCs w:val="false"/>
          <w:color w:val="1A1A1A"/>
          <w:sz w:val="22"/>
          <w:szCs w:val="22"/>
        </w:rPr>
        <w:t xml:space="preserve">Under IOTA, participating transplant hospitals are evaluated on a performance score combining three domains: achievement (transplant volume relative to a trended baseline), efficiency (utilization of available organs), and quality (graft survival and patient experience). Based on their score, hospitals either receive an upside risk payment of up to $15,000 per Medicare kidney transplant or owe a downside risk payment beginning in performance year two. The model applies to all Medicare kidney transplants at participating hospitals, regardless of whether the transplant was performed under fee-for-service or an alternative payment arrangement (CMS, 2025).</w:t>
      </w:r>
    </w:p>
    <w:p>
      <w:pPr>
        <w:spacing w:after="220" w:before="80" w:line="340"/>
        <w:jc w:val="both"/>
      </w:pPr>
      <w:r>
        <w:rPr>
          <w:rFonts w:ascii="Arial" w:cs="Arial" w:eastAsia="Arial" w:hAnsi="Arial"/>
          <w:b w:val="false"/>
          <w:bCs w:val="false"/>
          <w:i w:val="false"/>
          <w:iCs w:val="false"/>
          <w:color w:val="1A1A1A"/>
          <w:sz w:val="22"/>
          <w:szCs w:val="22"/>
        </w:rPr>
        <w:t xml:space="preserve">IOTA is directly relevant to the countermeasure portfolio proposed in this document and is analyzed in depth in Section 8. Its launch resolves one critical element of the structural misalignment identified in the Five-Whys analysis: for the first time, a federal payment model explicitly rewards transplant volume and organ utilization at the center level, not only one-year graft survival. However, the model has significant structural limitations — it covers only approximately 40 percent of kidney transplant hospitals, its quality metrics remain weighted toward post-transplant outcomes rather than pre-transplant access, and its design has already required revision in December 2025 rulemaking. The Cold Ischemia Foundation's position is that IOTA provides a reform platform that must be strengthened and made permanent, not a sufficient reform in itself.</w:t>
      </w:r>
    </w:p>
    <w:p>
      <w:pPr>
        <w:pStyle w:val="Heading2"/>
        <w:spacing w:after="160" w:before="280" w:line="280"/>
        <w:jc w:val="left"/>
      </w:pPr>
      <w:r>
        <w:rPr>
          <w:rFonts w:ascii="Arial" w:cs="Arial" w:eastAsia="Arial" w:hAnsi="Arial"/>
          <w:b/>
          <w:bCs/>
          <w:i w:val="false"/>
          <w:iCs w:val="false"/>
          <w:color w:val="1B2A4A"/>
          <w:sz w:val="25"/>
          <w:szCs w:val="25"/>
        </w:rPr>
        <w:t xml:space="preserve">1.3 Why Lean Six Sigma</w:t>
      </w:r>
    </w:p>
    <w:p>
      <w:pPr>
        <w:spacing w:after="220" w:before="80" w:line="340"/>
        <w:jc w:val="both"/>
      </w:pPr>
      <w:r>
        <w:rPr>
          <w:rFonts w:ascii="Arial" w:cs="Arial" w:eastAsia="Arial" w:hAnsi="Arial"/>
          <w:b w:val="false"/>
          <w:bCs w:val="false"/>
          <w:i w:val="false"/>
          <w:iCs w:val="false"/>
          <w:color w:val="1A1A1A"/>
          <w:sz w:val="22"/>
          <w:szCs w:val="22"/>
        </w:rPr>
        <w:t xml:space="preserve">The transplant system is a complex socio-technical process with a clearly definable customer, measurable defects, explicit value-added and non-value-added activities, and identifiable variation between centers, regions, and demographic subgroups. These characteristics make it precisely the system for which Lean Six Sigma was developed. What makes this application distinctive is the addition of a policy enforcement lens. Prior applications of process improvement methodology to transplant settings have been primarily clinical and center-level in scope. This document applies DMAIC at the national policy level and extends the analysis to the mechanisms by which policy-level improvements are sustained, enforced, and protected against institutional regression. The transplant system has no shortage of well-documented reform proposals; it has a shortage of implemented, sustained, and enforced reforms. That is a process control problem, not a knowledge problem.</w:t>
      </w:r>
    </w:p>
    <w:p>
      <w:pPr>
        <w:pStyle w:val="Heading2"/>
        <w:spacing w:after="160" w:before="280" w:line="280"/>
        <w:jc w:val="left"/>
      </w:pPr>
      <w:r>
        <w:rPr>
          <w:rFonts w:ascii="Arial" w:cs="Arial" w:eastAsia="Arial" w:hAnsi="Arial"/>
          <w:b/>
          <w:bCs/>
          <w:i w:val="false"/>
          <w:iCs w:val="false"/>
          <w:color w:val="1B2A4A"/>
          <w:sz w:val="25"/>
          <w:szCs w:val="25"/>
        </w:rPr>
        <w:t xml:space="preserve">1.4 Scope and Contribution</w:t>
      </w:r>
    </w:p>
    <w:p>
      <w:pPr>
        <w:spacing w:after="220" w:before="80" w:line="340"/>
        <w:jc w:val="both"/>
      </w:pPr>
      <w:r>
        <w:rPr>
          <w:rFonts w:ascii="Arial" w:cs="Arial" w:eastAsia="Arial" w:hAnsi="Arial"/>
          <w:b w:val="false"/>
          <w:bCs w:val="false"/>
          <w:i w:val="false"/>
          <w:iCs w:val="false"/>
          <w:color w:val="1A1A1A"/>
          <w:sz w:val="22"/>
          <w:szCs w:val="22"/>
        </w:rPr>
        <w:t xml:space="preserve">This expanded second edition covers the entire transplant continuum from end-stage organ disease diagnosis through transplant center referral, evaluation, listing, waiting, allocation, surgery, and lifelong follow-up. It treats living donation as a parallel process with its own end-to-end barrier stack. It is grounded in current, citable data from the OPTN, the Scientific Registry of Transplant Recipients (SRTR), peer-reviewed literature published primarily between 2022 and 2026, HRSA OPTN Modernization releases, CMS IOTA rulemaking, federal legislative records, and comparative international data from Eurotransplant, ANZDATA, and the Agence de la Biomedecine.</w:t>
      </w:r>
    </w:p>
    <w:p>
      <w:pPr>
        <w:spacing w:after="220" w:before="80" w:line="340"/>
        <w:jc w:val="both"/>
      </w:pPr>
      <w:r>
        <w:rPr>
          <w:rFonts w:ascii="Arial" w:cs="Arial" w:eastAsia="Arial" w:hAnsi="Arial"/>
          <w:b w:val="false"/>
          <w:bCs w:val="false"/>
          <w:i w:val="false"/>
          <w:iCs w:val="false"/>
          <w:color w:val="1A1A1A"/>
          <w:sz w:val="22"/>
          <w:szCs w:val="22"/>
        </w:rPr>
        <w:t xml:space="preserve">The five new analytical domains introduced in this edition are: (1) a deep analysis of the IOTA Model and its implications for structural transplant reform; (2) a comprehensive policy enforcement architecture tracing each reform proposal to its legislative vehicle, regulatory authority, and accountability mechanism, including analysis of HRSA's February 2025 out-of-sequence allocation directive; (3) a labor-economic analysis of care partner contributions including the Marie's Lifeline Compensation Act framework; (4) a structural equity analysis with targeted remediation strategies; and (5) an institutional resistance and change management framework using the Multi-Generational Project Plan tool.</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2. Methodological Framework</w:t>
      </w:r>
    </w:p>
    <w:p>
      <w:pPr>
        <w:pStyle w:val="Heading2"/>
        <w:spacing w:after="160" w:before="280" w:line="280"/>
        <w:jc w:val="left"/>
      </w:pPr>
      <w:r>
        <w:rPr>
          <w:rFonts w:ascii="Arial" w:cs="Arial" w:eastAsia="Arial" w:hAnsi="Arial"/>
          <w:b/>
          <w:bCs/>
          <w:i w:val="false"/>
          <w:iCs w:val="false"/>
          <w:color w:val="1B2A4A"/>
          <w:sz w:val="25"/>
          <w:szCs w:val="25"/>
        </w:rPr>
        <w:t xml:space="preserve">2.1 Defining the System: SIPOC</w:t>
      </w:r>
    </w:p>
    <w:p>
      <w:pPr>
        <w:spacing w:after="220" w:before="80" w:line="340"/>
        <w:jc w:val="both"/>
      </w:pPr>
      <w:r>
        <w:rPr>
          <w:rFonts w:ascii="Arial" w:cs="Arial" w:eastAsia="Arial" w:hAnsi="Arial"/>
          <w:b w:val="false"/>
          <w:bCs w:val="false"/>
          <w:i w:val="false"/>
          <w:iCs w:val="false"/>
          <w:color w:val="1A1A1A"/>
          <w:sz w:val="22"/>
          <w:szCs w:val="22"/>
        </w:rPr>
        <w:t xml:space="preserve">The SIPOC diagram establishes the system boundaries and forces stakeholder alignment on what the process is, who it serves, and who feeds into it (George, 2003). Several features of this system's SIPOC warrant attention. The supplier column lists 55 Organ Procurement Organizations and approximately 250 transplant hospitals — a fragmented production system with substantial inter-supplier variation that has been documented across donor conversion rates, organ utilization rates, and family approach protocols. The customer column deliberately includes care partners, a definitional choice that reflects the structural reality that unpaid care partner labor is required for transplant success but remains invisible in OPTN data and CMS reimbursement structures. The inputs include federal allocation policy itself, reflecting the process-control reality that policy is a constraint that the entire downstream system must accept — and that constraints set in policy have downstream consequences that are not always visible at the policy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9"/>
                <w:szCs w:val="19"/>
              </w:rPr>
              <w:t xml:space="preserve">SUPPLIERS</w:t>
            </w:r>
          </w:p>
        </w:tc>
        <w:tc>
          <w:tcPr>
            <w:tcW w:type="dxa" w:w="187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9"/>
                <w:szCs w:val="19"/>
              </w:rPr>
              <w:t xml:space="preserve">INPUTS</w:t>
            </w:r>
          </w:p>
        </w:tc>
        <w:tc>
          <w:tcPr>
            <w:tcW w:type="dxa" w:w="1872"/>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9"/>
                <w:szCs w:val="19"/>
              </w:rPr>
              <w:t xml:space="preserve">PROCESS</w:t>
            </w:r>
          </w:p>
        </w:tc>
        <w:tc>
          <w:tcPr>
            <w:tcW w:type="dxa" w:w="187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9"/>
                <w:szCs w:val="19"/>
              </w:rPr>
              <w:t xml:space="preserve">OUTPUTS</w:t>
            </w:r>
          </w:p>
        </w:tc>
        <w:tc>
          <w:tcPr>
            <w:tcW w:type="dxa" w:w="187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9"/>
                <w:szCs w:val="19"/>
              </w:rPr>
              <w:t xml:space="preserve">CUSTOMERS</w:t>
            </w:r>
          </w:p>
        </w:tc>
      </w:tr>
      <w:tr>
        <w:trPr>
          <w:tblHeader w:val="false"/>
        </w:trPr>
        <w:tc>
          <w:tcPr>
            <w:tcW w:type="dxa" w:w="1872"/>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Primary care providers</w:t>
            </w:r>
          </w:p>
          <w:p>
            <w:pPr>
              <w:spacing w:after="160" w:before="0" w:line="280"/>
              <w:jc w:val="left"/>
            </w:pPr>
            <w:r>
              <w:rPr>
                <w:rFonts w:ascii="Arial" w:cs="Arial" w:eastAsia="Arial" w:hAnsi="Arial"/>
                <w:b w:val="false"/>
                <w:bCs w:val="false"/>
                <w:i w:val="false"/>
                <w:iCs w:val="false"/>
                <w:color w:val="1A1A1A"/>
                <w:sz w:val="18"/>
                <w:szCs w:val="18"/>
              </w:rPr>
              <w:t xml:space="preserve">Nephrologists/dialysis ctrs</w:t>
            </w:r>
          </w:p>
          <w:p>
            <w:pPr>
              <w:spacing w:after="160" w:before="0" w:line="280"/>
              <w:jc w:val="left"/>
            </w:pPr>
            <w:r>
              <w:rPr>
                <w:rFonts w:ascii="Arial" w:cs="Arial" w:eastAsia="Arial" w:hAnsi="Arial"/>
                <w:b w:val="false"/>
                <w:bCs w:val="false"/>
                <w:i w:val="false"/>
                <w:iCs w:val="false"/>
                <w:color w:val="1A1A1A"/>
                <w:sz w:val="18"/>
                <w:szCs w:val="18"/>
              </w:rPr>
              <w:t xml:space="preserve">OPOs (55 nationally)</w:t>
            </w:r>
          </w:p>
          <w:p>
            <w:pPr>
              <w:spacing w:after="160" w:before="0" w:line="280"/>
              <w:jc w:val="left"/>
            </w:pPr>
            <w:r>
              <w:rPr>
                <w:rFonts w:ascii="Arial" w:cs="Arial" w:eastAsia="Arial" w:hAnsi="Arial"/>
                <w:b w:val="false"/>
                <w:bCs w:val="false"/>
                <w:i w:val="false"/>
                <w:iCs w:val="false"/>
                <w:color w:val="1A1A1A"/>
                <w:sz w:val="18"/>
                <w:szCs w:val="18"/>
              </w:rPr>
              <w:t xml:space="preserve">Transplant hospitals (~250)</w:t>
            </w:r>
          </w:p>
          <w:p>
            <w:pPr>
              <w:spacing w:after="160" w:before="0" w:line="280"/>
              <w:jc w:val="left"/>
            </w:pPr>
            <w:r>
              <w:rPr>
                <w:rFonts w:ascii="Arial" w:cs="Arial" w:eastAsia="Arial" w:hAnsi="Arial"/>
                <w:b w:val="false"/>
                <w:bCs w:val="false"/>
                <w:i w:val="false"/>
                <w:iCs w:val="false"/>
                <w:color w:val="1A1A1A"/>
                <w:sz w:val="18"/>
                <w:szCs w:val="18"/>
              </w:rPr>
              <w:t xml:space="preserve">HRSA / CMS / OPTN</w:t>
            </w:r>
          </w:p>
          <w:p>
            <w:pPr>
              <w:spacing w:after="160" w:before="0" w:line="280"/>
              <w:jc w:val="left"/>
            </w:pPr>
            <w:r>
              <w:rPr>
                <w:rFonts w:ascii="Arial" w:cs="Arial" w:eastAsia="Arial" w:hAnsi="Arial"/>
                <w:b w:val="false"/>
                <w:bCs w:val="false"/>
                <w:i w:val="false"/>
                <w:iCs w:val="false"/>
                <w:color w:val="1A1A1A"/>
                <w:sz w:val="18"/>
                <w:szCs w:val="18"/>
              </w:rPr>
              <w:t xml:space="preserve">Histocompat. labs</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Patient referrals &amp; records</w:t>
            </w:r>
          </w:p>
          <w:p>
            <w:pPr>
              <w:spacing w:after="160" w:before="0" w:line="280"/>
              <w:jc w:val="left"/>
            </w:pPr>
            <w:r>
              <w:rPr>
                <w:rFonts w:ascii="Arial" w:cs="Arial" w:eastAsia="Arial" w:hAnsi="Arial"/>
                <w:b w:val="false"/>
                <w:bCs w:val="false"/>
                <w:i w:val="false"/>
                <w:iCs w:val="false"/>
                <w:color w:val="1A1A1A"/>
                <w:sz w:val="18"/>
                <w:szCs w:val="18"/>
              </w:rPr>
              <w:t xml:space="preserve">Deceased donor organs</w:t>
            </w:r>
          </w:p>
          <w:p>
            <w:pPr>
              <w:spacing w:after="160" w:before="0" w:line="280"/>
              <w:jc w:val="left"/>
            </w:pPr>
            <w:r>
              <w:rPr>
                <w:rFonts w:ascii="Arial" w:cs="Arial" w:eastAsia="Arial" w:hAnsi="Arial"/>
                <w:b w:val="false"/>
                <w:bCs w:val="false"/>
                <w:i w:val="false"/>
                <w:iCs w:val="false"/>
                <w:color w:val="1A1A1A"/>
                <w:sz w:val="18"/>
                <w:szCs w:val="18"/>
              </w:rPr>
              <w:t xml:space="preserve">Living donor candidates</w:t>
            </w:r>
          </w:p>
          <w:p>
            <w:pPr>
              <w:spacing w:after="160" w:before="0" w:line="280"/>
              <w:jc w:val="left"/>
            </w:pPr>
            <w:r>
              <w:rPr>
                <w:rFonts w:ascii="Arial" w:cs="Arial" w:eastAsia="Arial" w:hAnsi="Arial"/>
                <w:b w:val="false"/>
                <w:bCs w:val="false"/>
                <w:i w:val="false"/>
                <w:iCs w:val="false"/>
                <w:color w:val="1A1A1A"/>
                <w:sz w:val="18"/>
                <w:szCs w:val="18"/>
              </w:rPr>
              <w:t xml:space="preserve">KDPI / EPTS scoring data</w:t>
            </w:r>
          </w:p>
          <w:p>
            <w:pPr>
              <w:spacing w:after="160" w:before="0" w:line="280"/>
              <w:jc w:val="left"/>
            </w:pPr>
            <w:r>
              <w:rPr>
                <w:rFonts w:ascii="Arial" w:cs="Arial" w:eastAsia="Arial" w:hAnsi="Arial"/>
                <w:b w:val="false"/>
                <w:bCs w:val="false"/>
                <w:i w:val="false"/>
                <w:iCs w:val="false"/>
                <w:color w:val="1A1A1A"/>
                <w:sz w:val="18"/>
                <w:szCs w:val="18"/>
              </w:rPr>
              <w:t xml:space="preserve">HLA crossmatch results</w:t>
            </w:r>
          </w:p>
          <w:p>
            <w:pPr>
              <w:spacing w:after="160" w:before="0" w:line="280"/>
              <w:jc w:val="left"/>
            </w:pPr>
            <w:r>
              <w:rPr>
                <w:rFonts w:ascii="Arial" w:cs="Arial" w:eastAsia="Arial" w:hAnsi="Arial"/>
                <w:b w:val="false"/>
                <w:bCs w:val="false"/>
                <w:i w:val="false"/>
                <w:iCs w:val="false"/>
                <w:color w:val="1A1A1A"/>
                <w:sz w:val="18"/>
                <w:szCs w:val="18"/>
              </w:rPr>
              <w:t xml:space="preserve">Federal allocation policy</w:t>
            </w:r>
          </w:p>
        </w:tc>
        <w:tc>
          <w:tcPr>
            <w:tcW w:type="dxa" w:w="1872"/>
            <w:tcBorders>
              <w:top w:val="single" w:color="CCCCCC" w:sz="1"/>
              <w:left w:val="single" w:color="CCCCCC" w:sz="1"/>
              <w:bottom w:val="single" w:color="CCCCCC" w:sz="1"/>
              <w:right w:val="single" w:color="CCCCCC" w:sz="1"/>
            </w:tcBorders>
            <w:shd w:fill="FFF8EE"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1. Referral</w:t>
            </w:r>
          </w:p>
          <w:p>
            <w:pPr>
              <w:spacing w:after="160" w:before="0" w:line="280"/>
              <w:jc w:val="left"/>
            </w:pPr>
            <w:r>
              <w:rPr>
                <w:rFonts w:ascii="Arial" w:cs="Arial" w:eastAsia="Arial" w:hAnsi="Arial"/>
                <w:b w:val="false"/>
                <w:bCs w:val="false"/>
                <w:i w:val="false"/>
                <w:iCs w:val="false"/>
                <w:color w:val="1A1A1A"/>
                <w:sz w:val="18"/>
                <w:szCs w:val="18"/>
              </w:rPr>
              <w:t xml:space="preserve">2. Evaluation</w:t>
            </w:r>
          </w:p>
          <w:p>
            <w:pPr>
              <w:spacing w:after="160" w:before="0" w:line="280"/>
              <w:jc w:val="left"/>
            </w:pPr>
            <w:r>
              <w:rPr>
                <w:rFonts w:ascii="Arial" w:cs="Arial" w:eastAsia="Arial" w:hAnsi="Arial"/>
                <w:b w:val="false"/>
                <w:bCs w:val="false"/>
                <w:i w:val="false"/>
                <w:iCs w:val="false"/>
                <w:color w:val="1A1A1A"/>
                <w:sz w:val="18"/>
                <w:szCs w:val="18"/>
              </w:rPr>
              <w:t xml:space="preserve">3. Waitlisting</w:t>
            </w:r>
          </w:p>
          <w:p>
            <w:pPr>
              <w:spacing w:after="160" w:before="0" w:line="280"/>
              <w:jc w:val="left"/>
            </w:pPr>
            <w:r>
              <w:rPr>
                <w:rFonts w:ascii="Arial" w:cs="Arial" w:eastAsia="Arial" w:hAnsi="Arial"/>
                <w:b w:val="false"/>
                <w:bCs w:val="false"/>
                <w:i w:val="false"/>
                <w:iCs w:val="false"/>
                <w:color w:val="1A1A1A"/>
                <w:sz w:val="18"/>
                <w:szCs w:val="18"/>
              </w:rPr>
              <w:t xml:space="preserve">4. Allocation/matching</w:t>
            </w:r>
          </w:p>
          <w:p>
            <w:pPr>
              <w:spacing w:after="160" w:before="0" w:line="280"/>
              <w:jc w:val="left"/>
            </w:pPr>
            <w:r>
              <w:rPr>
                <w:rFonts w:ascii="Arial" w:cs="Arial" w:eastAsia="Arial" w:hAnsi="Arial"/>
                <w:b w:val="false"/>
                <w:bCs w:val="false"/>
                <w:i w:val="false"/>
                <w:iCs w:val="false"/>
                <w:color w:val="1A1A1A"/>
                <w:sz w:val="18"/>
                <w:szCs w:val="18"/>
              </w:rPr>
              <w:t xml:space="preserve">5. Organ recovery</w:t>
            </w:r>
          </w:p>
          <w:p>
            <w:pPr>
              <w:spacing w:after="160" w:before="0" w:line="280"/>
              <w:jc w:val="left"/>
            </w:pPr>
            <w:r>
              <w:rPr>
                <w:rFonts w:ascii="Arial" w:cs="Arial" w:eastAsia="Arial" w:hAnsi="Arial"/>
                <w:b w:val="false"/>
                <w:bCs w:val="false"/>
                <w:i w:val="false"/>
                <w:iCs w:val="false"/>
                <w:color w:val="1A1A1A"/>
                <w:sz w:val="18"/>
                <w:szCs w:val="18"/>
              </w:rPr>
              <w:t xml:space="preserve">6. Transplant surgery</w:t>
            </w:r>
          </w:p>
          <w:p>
            <w:pPr>
              <w:spacing w:after="160" w:before="0" w:line="280"/>
              <w:jc w:val="left"/>
            </w:pPr>
            <w:r>
              <w:rPr>
                <w:rFonts w:ascii="Arial" w:cs="Arial" w:eastAsia="Arial" w:hAnsi="Arial"/>
                <w:b w:val="false"/>
                <w:bCs w:val="false"/>
                <w:i w:val="false"/>
                <w:iCs w:val="false"/>
                <w:color w:val="1A1A1A"/>
                <w:sz w:val="18"/>
                <w:szCs w:val="18"/>
              </w:rPr>
              <w:t xml:space="preserve">7. Post-transplant care</w:t>
            </w:r>
          </w:p>
          <w:p>
            <w:pPr>
              <w:spacing w:after="160" w:before="0" w:line="280"/>
              <w:jc w:val="left"/>
            </w:pPr>
            <w:r>
              <w:rPr>
                <w:rFonts w:ascii="Arial" w:cs="Arial" w:eastAsia="Arial" w:hAnsi="Arial"/>
                <w:b w:val="false"/>
                <w:bCs w:val="false"/>
                <w:i w:val="false"/>
                <w:iCs w:val="false"/>
                <w:color w:val="1A1A1A"/>
                <w:sz w:val="18"/>
                <w:szCs w:val="18"/>
              </w:rPr>
              <w:t xml:space="preserve">8. Long-term follow-up</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Functioning allograft</w:t>
            </w:r>
          </w:p>
          <w:p>
            <w:pPr>
              <w:spacing w:after="160" w:before="0" w:line="280"/>
              <w:jc w:val="left"/>
            </w:pPr>
            <w:r>
              <w:rPr>
                <w:rFonts w:ascii="Arial" w:cs="Arial" w:eastAsia="Arial" w:hAnsi="Arial"/>
                <w:b w:val="false"/>
                <w:bCs w:val="false"/>
                <w:i w:val="false"/>
                <w:iCs w:val="false"/>
                <w:color w:val="1A1A1A"/>
                <w:sz w:val="18"/>
                <w:szCs w:val="18"/>
              </w:rPr>
              <w:t xml:space="preserve">Improved survival</w:t>
            </w:r>
          </w:p>
          <w:p>
            <w:pPr>
              <w:spacing w:after="160" w:before="0" w:line="280"/>
              <w:jc w:val="left"/>
            </w:pPr>
            <w:r>
              <w:rPr>
                <w:rFonts w:ascii="Arial" w:cs="Arial" w:eastAsia="Arial" w:hAnsi="Arial"/>
                <w:b w:val="false"/>
                <w:bCs w:val="false"/>
                <w:i w:val="false"/>
                <w:iCs w:val="false"/>
                <w:color w:val="1A1A1A"/>
                <w:sz w:val="18"/>
                <w:szCs w:val="18"/>
              </w:rPr>
              <w:t xml:space="preserve">Reduced dialysis cost</w:t>
            </w:r>
          </w:p>
          <w:p>
            <w:pPr>
              <w:spacing w:after="160" w:before="0" w:line="280"/>
              <w:jc w:val="left"/>
            </w:pPr>
            <w:r>
              <w:rPr>
                <w:rFonts w:ascii="Arial" w:cs="Arial" w:eastAsia="Arial" w:hAnsi="Arial"/>
                <w:b w:val="false"/>
                <w:bCs w:val="false"/>
                <w:i w:val="false"/>
                <w:iCs w:val="false"/>
                <w:color w:val="1A1A1A"/>
                <w:sz w:val="18"/>
                <w:szCs w:val="18"/>
              </w:rPr>
              <w:t xml:space="preserve">Care partner burden</w:t>
            </w:r>
          </w:p>
          <w:p>
            <w:pPr>
              <w:spacing w:after="160" w:before="0" w:line="280"/>
              <w:jc w:val="left"/>
            </w:pPr>
            <w:r>
              <w:rPr>
                <w:rFonts w:ascii="Arial" w:cs="Arial" w:eastAsia="Arial" w:hAnsi="Arial"/>
                <w:b w:val="false"/>
                <w:bCs w:val="false"/>
                <w:i w:val="false"/>
                <w:iCs w:val="false"/>
                <w:color w:val="1A1A1A"/>
                <w:sz w:val="18"/>
                <w:szCs w:val="18"/>
              </w:rPr>
              <w:t xml:space="preserve">OPTN registry data</w:t>
            </w:r>
          </w:p>
          <w:p>
            <w:pPr>
              <w:spacing w:after="160" w:before="0" w:line="280"/>
              <w:jc w:val="left"/>
            </w:pPr>
            <w:r>
              <w:rPr>
                <w:rFonts w:ascii="Arial" w:cs="Arial" w:eastAsia="Arial" w:hAnsi="Arial"/>
                <w:b w:val="false"/>
                <w:bCs w:val="false"/>
                <w:i w:val="false"/>
                <w:iCs w:val="false"/>
                <w:color w:val="1A1A1A"/>
                <w:sz w:val="18"/>
                <w:szCs w:val="18"/>
              </w:rPr>
              <w:t xml:space="preserve">SRTR performance metrics</w:t>
            </w:r>
          </w:p>
        </w:tc>
        <w:tc>
          <w:tcPr>
            <w:tcW w:type="dxa" w:w="1872"/>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Transplant recipients</w:t>
            </w:r>
          </w:p>
          <w:p>
            <w:pPr>
              <w:spacing w:after="160" w:before="0" w:line="280"/>
              <w:jc w:val="left"/>
            </w:pPr>
            <w:r>
              <w:rPr>
                <w:rFonts w:ascii="Arial" w:cs="Arial" w:eastAsia="Arial" w:hAnsi="Arial"/>
                <w:b w:val="false"/>
                <w:bCs w:val="false"/>
                <w:i w:val="false"/>
                <w:iCs w:val="false"/>
                <w:color w:val="1A1A1A"/>
                <w:sz w:val="18"/>
                <w:szCs w:val="18"/>
              </w:rPr>
              <w:t xml:space="preserve">Living donors</w:t>
            </w:r>
          </w:p>
          <w:p>
            <w:pPr>
              <w:spacing w:after="160" w:before="0" w:line="280"/>
              <w:jc w:val="left"/>
            </w:pPr>
            <w:r>
              <w:rPr>
                <w:rFonts w:ascii="Arial" w:cs="Arial" w:eastAsia="Arial" w:hAnsi="Arial"/>
                <w:b/>
                <w:bCs/>
                <w:i w:val="false"/>
                <w:iCs w:val="false"/>
                <w:color w:val="8B2A1A"/>
                <w:sz w:val="18"/>
                <w:szCs w:val="18"/>
              </w:rPr>
              <w:t xml:space="preserve">Care partners</w:t>
            </w:r>
          </w:p>
          <w:p>
            <w:pPr>
              <w:spacing w:after="160" w:before="0" w:line="280"/>
              <w:jc w:val="left"/>
            </w:pPr>
            <w:r>
              <w:rPr>
                <w:rFonts w:ascii="Arial" w:cs="Arial" w:eastAsia="Arial" w:hAnsi="Arial"/>
                <w:b w:val="false"/>
                <w:bCs w:val="false"/>
                <w:i w:val="false"/>
                <w:iCs w:val="false"/>
                <w:color w:val="1A1A1A"/>
                <w:sz w:val="18"/>
                <w:szCs w:val="18"/>
              </w:rPr>
              <w:t xml:space="preserve">Recipient families</w:t>
            </w:r>
          </w:p>
          <w:p>
            <w:pPr>
              <w:spacing w:after="160" w:before="0" w:line="280"/>
              <w:jc w:val="left"/>
            </w:pPr>
            <w:r>
              <w:rPr>
                <w:rFonts w:ascii="Arial" w:cs="Arial" w:eastAsia="Arial" w:hAnsi="Arial"/>
                <w:b w:val="false"/>
                <w:bCs w:val="false"/>
                <w:i w:val="false"/>
                <w:iCs w:val="false"/>
                <w:color w:val="1A1A1A"/>
                <w:sz w:val="18"/>
                <w:szCs w:val="18"/>
              </w:rPr>
              <w:t xml:space="preserve">Payers (CMS/private)</w:t>
            </w:r>
          </w:p>
          <w:p>
            <w:pPr>
              <w:spacing w:after="160" w:before="0" w:line="280"/>
              <w:jc w:val="left"/>
            </w:pPr>
            <w:r>
              <w:rPr>
                <w:rFonts w:ascii="Arial" w:cs="Arial" w:eastAsia="Arial" w:hAnsi="Arial"/>
                <w:b w:val="false"/>
                <w:bCs w:val="false"/>
                <w:i w:val="false"/>
                <w:iCs w:val="false"/>
                <w:color w:val="1A1A1A"/>
                <w:sz w:val="18"/>
                <w:szCs w:val="18"/>
              </w:rPr>
              <w:t xml:space="preserve">Public health systems</w:t>
            </w:r>
          </w:p>
          <w:p>
            <w:pPr>
              <w:spacing w:after="160" w:before="0" w:line="280"/>
              <w:jc w:val="left"/>
            </w:pPr>
            <w:r>
              <w:rPr>
                <w:rFonts w:ascii="Arial" w:cs="Arial" w:eastAsia="Arial" w:hAnsi="Arial"/>
                <w:b w:val="false"/>
                <w:bCs w:val="false"/>
                <w:i w:val="false"/>
                <w:iCs w:val="false"/>
                <w:color w:val="1A1A1A"/>
                <w:sz w:val="18"/>
                <w:szCs w:val="18"/>
              </w:rPr>
              <w:t xml:space="preserve">Future candidates</w:t>
            </w:r>
          </w:p>
        </w:tc>
      </w:tr>
    </w:tbl>
    <w:p>
      <w:pPr>
        <w:spacing w:after="200" w:before="80" w:line="280"/>
        <w:jc w:val="center"/>
      </w:pPr>
      <w:r>
        <w:rPr>
          <w:rFonts w:ascii="Arial" w:cs="Arial" w:eastAsia="Arial" w:hAnsi="Arial"/>
          <w:b w:val="false"/>
          <w:bCs w:val="false"/>
          <w:i/>
          <w:iCs/>
          <w:color w:val="4A5568"/>
          <w:sz w:val="18"/>
          <w:szCs w:val="18"/>
        </w:rPr>
        <w:t xml:space="preserve">Figure 1. SIPOC Diagram — U.S. Solid Organ Transplant System. Care partners are deliberately included as customers, reflecting the structural reality that their uncompensated labor is functionally required for transplant success yet remains unmeasured in OPTN data and unreimbursed in CMS payment structures.</w:t>
      </w:r>
    </w:p>
    <w:p>
      <w:pPr>
        <w:pStyle w:val="Heading2"/>
        <w:spacing w:after="160" w:before="280" w:line="280"/>
        <w:jc w:val="left"/>
      </w:pPr>
      <w:r>
        <w:rPr>
          <w:rFonts w:ascii="Arial" w:cs="Arial" w:eastAsia="Arial" w:hAnsi="Arial"/>
          <w:b/>
          <w:bCs/>
          <w:i w:val="false"/>
          <w:iCs w:val="false"/>
          <w:color w:val="1B2A4A"/>
          <w:sz w:val="25"/>
          <w:szCs w:val="25"/>
        </w:rPr>
        <w:t xml:space="preserve">2.2 Current-State Value Stream Mapping</w:t>
      </w:r>
    </w:p>
    <w:p>
      <w:pPr>
        <w:spacing w:after="220" w:before="80" w:line="340"/>
        <w:jc w:val="both"/>
      </w:pPr>
      <w:r>
        <w:rPr>
          <w:rFonts w:ascii="Arial" w:cs="Arial" w:eastAsia="Arial" w:hAnsi="Arial"/>
          <w:b w:val="false"/>
          <w:bCs w:val="false"/>
          <w:i w:val="false"/>
          <w:iCs w:val="false"/>
          <w:color w:val="1A1A1A"/>
          <w:sz w:val="22"/>
          <w:szCs w:val="22"/>
        </w:rPr>
        <w:t xml:space="preserve">The current-state value stream map of the kidney transplant pathway reveals two findings of acute significance. Total lead time from end-stage renal disease diagnosis to completed transplantation ranges from 3.8 to 7.2 years for most candidates, depending on blood type, panel reactive antibody sensitization level, geographic access, and transplant center practice variation (OPTN/SRTR, 2023). The value-added time during this period — active evaluation, surgery, and immediate post-operative care — is approximately 14 days. Process Cycle Efficiency equals value-added time divided by total lead time, yielding approximately 0.5 percent. In Lean terminology, 99.5 percent of elapsed time is non-value-adding to the customer.</w:t>
      </w:r>
    </w:p>
    <w:p>
      <w:pPr>
        <w:spacing w:after="220" w:before="80" w:line="340"/>
        <w:jc w:val="both"/>
      </w:pPr>
      <w:r>
        <w:rPr>
          <w:rFonts w:ascii="Arial" w:cs="Arial" w:eastAsia="Arial" w:hAnsi="Arial"/>
          <w:b w:val="false"/>
          <w:bCs w:val="false"/>
          <w:i w:val="false"/>
          <w:iCs w:val="false"/>
          <w:color w:val="1A1A1A"/>
          <w:sz w:val="22"/>
          <w:szCs w:val="22"/>
        </w:rPr>
        <w:t xml:space="preserve">Seven Muda categories are present in the current state. Waiting: 27.9 percent kidney non-use rate; median waitlist 3 to 5 years; 13 deaths per day on the waitlist. Overprocessing: redundant evaluation testing across centers with no portable workup standards. Defects: delayed graft function rates rising from 20.9 percent at optimal cold ischemia time to 37.5 percent in the 32 to 40-hour stratum. Underutilized Talent: willing living donors lost to financial and insurance barriers, with 92.8 percent cumulative attrition from initial consideration to completed donation. Motion and Transport: commercial-flight courier delays adding avoidable cold ischemia hours; the most recent McKenney et al. analysis found transportation difficulties were the primary reason for discard in machine-perfused kidneys, demonstrating that infrastructure failure — not organ quality — is driving some fraction of the non-use rate (McKenney et al., 2024). Inventory: organs in extended cold storage during sequential refusal cycles, with Accumulated Refusal Counts routinely exceeding 50 for kidneys ultimately discarded. Inappropriate Processing: risk-averse offer refusal driven by CMS quality metrics that penalize poor one-year outcomes more heavily than they reward utilization.</w:t>
      </w:r>
    </w:p>
    <w:p>
      <w:pPr>
        <w:pStyle w:val="Heading2"/>
        <w:spacing w:after="160" w:before="280" w:line="280"/>
        <w:jc w:val="left"/>
      </w:pPr>
      <w:r>
        <w:rPr>
          <w:rFonts w:ascii="Arial" w:cs="Arial" w:eastAsia="Arial" w:hAnsi="Arial"/>
          <w:b/>
          <w:bCs/>
          <w:i w:val="false"/>
          <w:iCs w:val="false"/>
          <w:color w:val="1B2A4A"/>
          <w:sz w:val="25"/>
          <w:szCs w:val="25"/>
        </w:rPr>
        <w:t xml:space="preserve">2.3 The DMAIC Framework Applied</w:t>
      </w:r>
    </w:p>
    <w:p>
      <w:pPr>
        <w:spacing w:after="220" w:before="80" w:line="340"/>
        <w:jc w:val="both"/>
      </w:pPr>
      <w:r>
        <w:rPr>
          <w:rFonts w:ascii="Arial" w:cs="Arial" w:eastAsia="Arial" w:hAnsi="Arial"/>
          <w:b w:val="false"/>
          <w:bCs w:val="false"/>
          <w:i w:val="false"/>
          <w:iCs w:val="false"/>
          <w:color w:val="1A1A1A"/>
          <w:sz w:val="22"/>
          <w:szCs w:val="22"/>
        </w:rPr>
        <w:t xml:space="preserve">The DMAIC sequence is applied at the national policy level across this document: Define the problem and customer requirements; Measure the current state with statistical rigor; Analyze root causes using Ishikawa, Pareto, and Five-Whys tools; Improve through a coordinated countermeasure portfolio; Control gains through regulation, institutionalized measurement, and political accountability structures. The Define phase project charter targets a 25 percent reduction in waitlist mortality by Q4 2028. The Control phase — often the weakest element in public sector improvement initiatives — receives expanded treatment in this edition through the Policy Enforcement Architecture of Section 10 and the Multi-Generational Project Plan of Section 13.</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3. Measure: Establishing the Baseline</w:t>
      </w:r>
    </w:p>
    <w:p>
      <w:pPr>
        <w:pStyle w:val="Heading2"/>
        <w:spacing w:after="160" w:before="280" w:line="280"/>
        <w:jc w:val="left"/>
      </w:pPr>
      <w:r>
        <w:rPr>
          <w:rFonts w:ascii="Arial" w:cs="Arial" w:eastAsia="Arial" w:hAnsi="Arial"/>
          <w:b/>
          <w:bCs/>
          <w:i w:val="false"/>
          <w:iCs w:val="false"/>
          <w:color w:val="1B2A4A"/>
          <w:sz w:val="25"/>
          <w:szCs w:val="25"/>
        </w:rPr>
        <w:t xml:space="preserve">3.1 Aggregate Supply and Demand</w:t>
      </w:r>
    </w:p>
    <w:p>
      <w:pPr>
        <w:spacing w:after="220" w:before="80" w:line="340"/>
        <w:jc w:val="both"/>
      </w:pPr>
      <w:r>
        <w:rPr>
          <w:rFonts w:ascii="Arial" w:cs="Arial" w:eastAsia="Arial" w:hAnsi="Arial"/>
          <w:b w:val="false"/>
          <w:bCs w:val="false"/>
          <w:i w:val="false"/>
          <w:iCs w:val="false"/>
          <w:color w:val="1A1A1A"/>
          <w:sz w:val="22"/>
          <w:szCs w:val="22"/>
        </w:rPr>
        <w:t xml:space="preserve">Six-year trend data on U.S. kidney transplant volumes, waitlist mortality, living donor share of total kidney transplants, and the deceased-donor kidney non-use rate reveal the structural asymmetry at the core of the system's performance problem. The headline aggregate transplant number — 49,064 — obscures the fact that the highest-volume individual organ category (kidney) declined in 2025 for the first time in any non-pandemic year of the 21st century. The living donor share of total kidney transplants has remained essentially static at 22 to 24 percent while the clinical evidence for living donor superiority in graft longevity and recipient outcomes has continued to strengthen.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440"/>
        <w:gridCol w:w="1440"/>
        <w:gridCol w:w="1560"/>
        <w:gridCol w:w="2160"/>
        <w:gridCol w:w="1440"/>
      </w:tblGrid>
      <w:tr>
        <w:trPr>
          <w:tblHeader/>
        </w:trPr>
        <w:tc>
          <w:tcPr>
            <w:tcW w:type="dxa" w:w="10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Year</w:t>
            </w:r>
          </w:p>
        </w:tc>
        <w:tc>
          <w:tcPr>
            <w:tcW w:type="dxa" w:w="14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DD Kidney</w:t>
            </w:r>
          </w:p>
        </w:tc>
        <w:tc>
          <w:tcPr>
            <w:tcW w:type="dxa" w:w="14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LD Kidney</w:t>
            </w:r>
          </w:p>
        </w:tc>
        <w:tc>
          <w:tcPr>
            <w:tcW w:type="dxa" w:w="14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Total</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Waitlist Deaths</w:t>
            </w:r>
          </w:p>
        </w:tc>
        <w:tc>
          <w:tcPr>
            <w:tcW w:type="dxa" w:w="216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Non-Use Rate</w:t>
            </w:r>
          </w:p>
        </w:tc>
        <w:tc>
          <w:tcPr>
            <w:tcW w:type="dxa" w:w="14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LD Share</w:t>
            </w:r>
          </w:p>
        </w:tc>
      </w:tr>
      <w:tr>
        <w:trPr>
          <w:tblHeader w:val="false"/>
        </w:trPr>
        <w:tc>
          <w:tcPr>
            <w:tcW w:type="dxa" w:w="1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2020</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17,600</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5,200</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22,800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~4,900</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22.0%</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22.8%</w:t>
            </w:r>
          </w:p>
        </w:tc>
      </w:tr>
      <w:tr>
        <w:trPr>
          <w:tblHeader w:val="false"/>
        </w:trPr>
        <w:tc>
          <w:tcPr>
            <w:tcW w:type="dxa" w:w="1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2021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19,500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4,900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24,400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~4,750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24.7%</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20.1%</w:t>
            </w:r>
          </w:p>
        </w:tc>
      </w:tr>
      <w:tr>
        <w:trPr>
          <w:tblHeader w:val="false"/>
        </w:trPr>
        <w:tc>
          <w:tcPr>
            <w:tcW w:type="dxa" w:w="1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2022</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22,400</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6,100</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28,500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~4,600</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26.6%</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21.4%</w:t>
            </w:r>
          </w:p>
        </w:tc>
      </w:tr>
      <w:tr>
        <w:trPr>
          <w:tblHeader w:val="false"/>
        </w:trPr>
        <w:tc>
          <w:tcPr>
            <w:tcW w:type="dxa" w:w="1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2023</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22,800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6,400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29,200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~4,500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27.9% ▲</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21.9%</w:t>
            </w:r>
          </w:p>
        </w:tc>
      </w:tr>
      <w:tr>
        <w:trPr>
          <w:tblHeader w:val="false"/>
        </w:trPr>
        <w:tc>
          <w:tcPr>
            <w:tcW w:type="dxa" w:w="1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2024</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21,100</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6,575</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27,675</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~4,600</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26.5%</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23.8%</w:t>
            </w:r>
          </w:p>
        </w:tc>
      </w:tr>
      <w:tr>
        <w:trPr>
          <w:tblHeader w:val="false"/>
        </w:trPr>
        <w:tc>
          <w:tcPr>
            <w:tcW w:type="dxa" w:w="1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2025</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21,052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6,521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27,573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~4,600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~25.0%*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23.6%</w:t>
            </w:r>
          </w:p>
        </w:tc>
      </w:tr>
    </w:tbl>
    <w:p>
      <w:pPr>
        <w:spacing w:after="200" w:before="80" w:line="280"/>
        <w:jc w:val="center"/>
      </w:pPr>
      <w:r>
        <w:rPr>
          <w:rFonts w:ascii="Arial" w:cs="Arial" w:eastAsia="Arial" w:hAnsi="Arial"/>
          <w:b w:val="false"/>
          <w:bCs w:val="false"/>
          <w:i/>
          <w:iCs/>
          <w:color w:val="4A5568"/>
          <w:sz w:val="18"/>
          <w:szCs w:val="18"/>
        </w:rPr>
        <w:t xml:space="preserve">Figure 2. Six-Year Trend: U.S. Kidney Transplant Supply, Demand, and System Inefficiency (2020–2025). ▲ = out-of-control signal on SPC chart. *2025 non-use rate estimated; 2023 is the most recently published official figure. Sources: UNOS (2026); Lentine et al. (2025); Kidney Transplant Collaborative (2025).</w:t>
      </w:r>
    </w:p>
    <w:p>
      <w:pPr>
        <w:spacing w:after="220" w:before="80" w:line="340"/>
        <w:jc w:val="both"/>
      </w:pPr>
      <w:r>
        <w:rPr>
          <w:rFonts w:ascii="Arial" w:cs="Arial" w:eastAsia="Arial" w:hAnsi="Arial"/>
          <w:b w:val="false"/>
          <w:bCs w:val="false"/>
          <w:i w:val="false"/>
          <w:iCs w:val="false"/>
          <w:color w:val="1A1A1A"/>
          <w:sz w:val="22"/>
          <w:szCs w:val="22"/>
        </w:rPr>
        <w:t xml:space="preserve">A critical finding embedded in this data is that the 7.2 percent improvement in the kidney discard rate in 2025 — the first improvement this century — was insufficient to offset the decline in deceased donations, producing a net decrease in kidney transplants. This demonstrates that utilization improvements alone cannot sustain transplant volume growth when the underlying donor supply is contracting. The policy implication is binary: either the system must address the structural factors driving donor supply decline, or it must accelerate living donor growth to compensate. The current trajectory does neither at adequate scale.</w:t>
      </w:r>
    </w:p>
    <w:p>
      <w:pPr>
        <w:pStyle w:val="Heading2"/>
        <w:spacing w:after="160" w:before="280" w:line="280"/>
        <w:jc w:val="left"/>
      </w:pPr>
      <w:r>
        <w:rPr>
          <w:rFonts w:ascii="Arial" w:cs="Arial" w:eastAsia="Arial" w:hAnsi="Arial"/>
          <w:b/>
          <w:bCs/>
          <w:i w:val="false"/>
          <w:iCs w:val="false"/>
          <w:color w:val="1B2A4A"/>
          <w:sz w:val="25"/>
          <w:szCs w:val="25"/>
        </w:rPr>
        <w:t xml:space="preserve">3.2 Statistical Process Control of the Non-Use Rate</w:t>
      </w:r>
    </w:p>
    <w:p>
      <w:pPr>
        <w:spacing w:after="220" w:before="80" w:line="340"/>
        <w:jc w:val="both"/>
      </w:pPr>
      <w:r>
        <w:rPr>
          <w:rFonts w:ascii="Arial" w:cs="Arial" w:eastAsia="Arial" w:hAnsi="Arial"/>
          <w:b w:val="false"/>
          <w:bCs w:val="false"/>
          <w:i w:val="false"/>
          <w:iCs w:val="false"/>
          <w:color w:val="1A1A1A"/>
          <w:sz w:val="22"/>
          <w:szCs w:val="22"/>
        </w:rPr>
        <w:t xml:space="preserve">Plotted as a statistical process control chart with control limits established at plus or minus three standard deviations from a pre-KAS250 baseline mean, the kidney non-use rate exhibits the classic signature of a process that has undergone a mean shift. In the pre-KAS250 era, the non-use rate exhibits common-cause variation around a baseline mean of approximately 22 percent. Beginning with the implementation of KAS250 in March 2021 — which removed Donor Service Area geographic boundaries and expanded local sharing to a 250-nautical-mile radius — the process shifts upward, reaching 27.9 percent by 2023 and breaching the upper control limit. This satisfies the Western Electric and Nelson rule criteria for a process that is no longer in statistical control (Montgomery, 2020).</w:t>
      </w:r>
    </w:p>
    <w:p>
      <w:pPr>
        <w:spacing w:after="220" w:before="80" w:line="340"/>
        <w:jc w:val="both"/>
      </w:pPr>
      <w:r>
        <w:rPr>
          <w:rFonts w:ascii="Arial" w:cs="Arial" w:eastAsia="Arial" w:hAnsi="Arial"/>
          <w:b w:val="false"/>
          <w:bCs w:val="false"/>
          <w:i w:val="false"/>
          <w:iCs w:val="false"/>
          <w:color w:val="1A1A1A"/>
          <w:sz w:val="22"/>
          <w:szCs w:val="22"/>
        </w:rPr>
        <w:t xml:space="preserve">The practical significance of the out-of-control finding is that the system cannot be improved through incremental adjustment until the mean-shift mechanism is understood and addressed. The Five-Whys analysis in Section 4.3 identifies that mechanism: KAS250 expanded geographic distribution without a corresponding update to organ acceptance logistics infrastructure, OPO coordination protocols, or CMS quality metrics, creating a situation where the policy intended to improve equity in distribution inadvertently increased cold ischemia time accumulation and center-level risk-averse refusal. HRSA's February 2025 formal directive identifying out-of-sequence allocation noncompliance adds a further layer: the distribution expansion also created conditions in which OPOs began making offers outside the match run sequence — practices HRSA has now characterized as violating federal regulations (HRSA, 2025a).</w:t>
      </w:r>
    </w:p>
    <w:p>
      <w:pPr>
        <w:spacing w:after="220" w:before="80" w:line="340"/>
        <w:jc w:val="both"/>
      </w:pPr>
      <w:r>
        <w:rPr>
          <w:rFonts w:ascii="Arial" w:cs="Arial" w:eastAsia="Arial" w:hAnsi="Arial"/>
          <w:b w:val="false"/>
          <w:bCs w:val="false"/>
          <w:i w:val="false"/>
          <w:iCs w:val="false"/>
          <w:color w:val="1A1A1A"/>
          <w:sz w:val="22"/>
          <w:szCs w:val="22"/>
        </w:rPr>
        <w:t xml:space="preserve">The reform target of 15 percent — consistent with rates in well-performing European systems — would represent approximately 3,500 additional kidney transplants annually and a corresponding reduction in waitlist deaths, assuming the transplant system has the capacity to absorb the additional volume, which the IOTA Model's transplant-volume incentive structure is specifically designed to encourage.</w:t>
      </w:r>
    </w:p>
    <w:p>
      <w:pPr>
        <w:pStyle w:val="Heading2"/>
        <w:spacing w:after="160" w:before="280" w:line="280"/>
        <w:jc w:val="left"/>
      </w:pPr>
      <w:r>
        <w:rPr>
          <w:rFonts w:ascii="Arial" w:cs="Arial" w:eastAsia="Arial" w:hAnsi="Arial"/>
          <w:b/>
          <w:bCs/>
          <w:i w:val="false"/>
          <w:iCs w:val="false"/>
          <w:color w:val="1B2A4A"/>
          <w:sz w:val="25"/>
          <w:szCs w:val="25"/>
        </w:rPr>
        <w:t xml:space="preserve">3.3 Defects: Graft Survival by Cold Ischemia Time</w:t>
      </w:r>
    </w:p>
    <w:p>
      <w:pPr>
        <w:spacing w:after="220" w:before="80" w:line="340"/>
        <w:jc w:val="both"/>
      </w:pPr>
      <w:r>
        <w:rPr>
          <w:rFonts w:ascii="Arial" w:cs="Arial" w:eastAsia="Arial" w:hAnsi="Arial"/>
          <w:b w:val="false"/>
          <w:bCs w:val="false"/>
          <w:i w:val="false"/>
          <w:iCs w:val="false"/>
          <w:color w:val="1A1A1A"/>
          <w:sz w:val="22"/>
          <w:szCs w:val="22"/>
        </w:rPr>
        <w:t xml:space="preserve">Cold ischemia time is among the most consistently studied modifiable factors in transplant outcomes. In the Lum et al. (2023) cohort of 106,900 recipients transplanted between 2000 and 2018, delayed graft function rose across CIT strata: 20.9 percent at 16 hours or less; 28.1 percent at 16 to 24 hours; 32.4 percent at 24 to 32 hours; 37.5 percent at 32 to 40 hours; and 35.8 percent above 40 hours. Primary non-function rose in parallel: 0.6, 0.9, 1.3, 2.1, and 2.3 percent respectively. The 10-year death-censored graft survival curves show a consistent downward gradient with increasing CIT, with the effect compounded in kidneys with KDPI at or above 85 percent.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800"/>
        <w:gridCol w:w="1800"/>
        <w:gridCol w:w="2280"/>
      </w:tblGrid>
      <w:tr>
        <w:trPr>
          <w:tblHeader/>
        </w:trPr>
        <w:tc>
          <w:tcPr>
            <w:tcW w:type="dxa" w:w="180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CIT Stratum</w:t>
            </w:r>
          </w:p>
        </w:tc>
        <w:tc>
          <w:tcPr>
            <w:tcW w:type="dxa" w:w="168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n (cohort)</w:t>
            </w:r>
          </w:p>
        </w:tc>
        <w:tc>
          <w:tcPr>
            <w:tcW w:type="dxa" w:w="180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DGF Rate (%)</w:t>
            </w:r>
          </w:p>
        </w:tc>
        <w:tc>
          <w:tcPr>
            <w:tcW w:type="dxa" w:w="180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Primary Non-Fxn (%)</w:t>
            </w:r>
          </w:p>
        </w:tc>
        <w:tc>
          <w:tcPr>
            <w:tcW w:type="dxa" w:w="228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Estimated 10-yr Graft Survival</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≤16 hours</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44,200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20.9</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0.6</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~78% (reference)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16–24 hours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38,100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28.1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0.9</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~74%</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24–32 hours</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17,800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32.4</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1.3</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~70%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32–40 hours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5,400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37.5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2.1</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~63%</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&gt;40 hours</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1,400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35.8</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2.3</w:t>
            </w:r>
          </w:p>
        </w:tc>
        <w:tc>
          <w:tcPr>
            <w:tcW w:type="dxa" w:w="2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~58%</w:t>
            </w:r>
          </w:p>
        </w:tc>
      </w:tr>
    </w:tbl>
    <w:p>
      <w:pPr>
        <w:spacing w:after="200" w:before="80" w:line="280"/>
        <w:jc w:val="center"/>
      </w:pPr>
      <w:r>
        <w:rPr>
          <w:rFonts w:ascii="Arial" w:cs="Arial" w:eastAsia="Arial" w:hAnsi="Arial"/>
          <w:b w:val="false"/>
          <w:bCs w:val="false"/>
          <w:i/>
          <w:iCs/>
          <w:color w:val="4A5568"/>
          <w:sz w:val="18"/>
          <w:szCs w:val="18"/>
        </w:rPr>
        <w:t xml:space="preserve">Figure 3. Kaplan-Meier Death-Censored Graft Survival by Cold Ischemia Time Stratum. Each refusal in the sequential allocation cycle adds approximately 1 to 3 hours of cold time; kidneys with Accumulated Refusal Counts above 50 are common among non-transplanted organs. Source: Lum et al. (2023).</w:t>
      </w:r>
    </w:p>
    <w:p>
      <w:pPr>
        <w:spacing w:after="220" w:before="80" w:line="340"/>
        <w:jc w:val="both"/>
      </w:pPr>
      <w:r>
        <w:rPr>
          <w:rFonts w:ascii="Arial" w:cs="Arial" w:eastAsia="Arial" w:hAnsi="Arial"/>
          <w:b w:val="false"/>
          <w:bCs w:val="false"/>
          <w:i w:val="false"/>
          <w:iCs w:val="false"/>
          <w:color w:val="1A1A1A"/>
          <w:sz w:val="22"/>
          <w:szCs w:val="22"/>
        </w:rPr>
        <w:t xml:space="preserve">The interaction between cold ischemia time and the sequential refusal cycle is the mechanistic link between allocation policy failure and clinical outcome failure. Each offer declined by a transplant center — whether for legitimate clinical reasons or risk-averse center-protection reasons — adds cold time to the organ, reducing its apparent quality for the next center in the offer sequence, making the next refusal more likely. This positive feedback loop between policy-driven refusal culture and cold ischemia accumulation is precisely what the Expedited Placement Policy, under development since 2024 and the subject of HRSA's July 2025 directive, is designed to interrupt.</w:t>
      </w:r>
    </w:p>
    <w:p>
      <w:pPr>
        <w:spacing w:after="220" w:before="80" w:line="340"/>
        <w:jc w:val="both"/>
      </w:pPr>
      <w:r>
        <w:rPr>
          <w:rFonts w:ascii="Arial" w:cs="Arial" w:eastAsia="Arial" w:hAnsi="Arial"/>
          <w:b w:val="false"/>
          <w:bCs w:val="false"/>
          <w:i w:val="false"/>
          <w:iCs w:val="false"/>
          <w:color w:val="1A1A1A"/>
          <w:sz w:val="22"/>
          <w:szCs w:val="22"/>
        </w:rPr>
        <w:t xml:space="preserve">Hypothermic machine perfusion has been shown in Cochrane-level systematic review evidence to mitigate the CIT effect and reduce delayed graft function and graft failure relative to static cold storage (Tingle et al., 2024). A 2025 mate-kidney analysis found that machine perfusion was associated with improved long-term graft survival mediated specifically through reduced delayed graft function (Cojuc-Konigsberg &amp; Chopra, 2025). Yet machine perfusion utilization in the United States remains at approximately 35 to 40 percent of deceased-donor kidney transplants, compared to 68 percent in France and 55 percent in Spain. McKenney et al. (2024) found a twofold increase in hypothermic machine perfusion since 2010, but transportation difficulties have become the primary reason for discard of perfused kidneys — meaning that the barrier to machine perfusion's full effectiveness is now logistical, not clinical.</w:t>
      </w:r>
    </w:p>
    <w:p>
      <w:pPr>
        <w:pStyle w:val="Heading2"/>
        <w:spacing w:after="160" w:before="280" w:line="280"/>
        <w:jc w:val="left"/>
      </w:pPr>
      <w:r>
        <w:rPr>
          <w:rFonts w:ascii="Arial" w:cs="Arial" w:eastAsia="Arial" w:hAnsi="Arial"/>
          <w:b/>
          <w:bCs/>
          <w:i w:val="false"/>
          <w:iCs w:val="false"/>
          <w:color w:val="1B2A4A"/>
          <w:sz w:val="25"/>
          <w:szCs w:val="25"/>
        </w:rPr>
        <w:t xml:space="preserve">3.4 OPO Performance Variation: A Structural Measurement Failure</w:t>
      </w:r>
    </w:p>
    <w:p>
      <w:pPr>
        <w:spacing w:after="220" w:before="80" w:line="340"/>
        <w:jc w:val="both"/>
      </w:pPr>
      <w:r>
        <w:rPr>
          <w:rFonts w:ascii="Arial" w:cs="Arial" w:eastAsia="Arial" w:hAnsi="Arial"/>
          <w:b w:val="false"/>
          <w:bCs w:val="false"/>
          <w:i w:val="false"/>
          <w:iCs w:val="false"/>
          <w:color w:val="1A1A1A"/>
          <w:sz w:val="22"/>
          <w:szCs w:val="22"/>
        </w:rPr>
        <w:t xml:space="preserve">The 55 Organ Procurement Organizations operating across the United States exhibit performance variation so substantial that it constitutes a structural measurement failure — not merely a performance gap. LifeCenter Northwest, in an August 2025 analysis of its CMS Tier 2 classification, documented that while it had increased organ donors by 34 percent and transplant-eligible organs by 32 percent between 2020 and 2024, its CMS-assigned tier was below the top 25 percent. The disconnect arose because CMS OPO performance metrics measure transplant rate in ways that attribute discard decisions made by transplant centers to the OPO responsible for the donor's service area — a methodological error with significant accountability implications (LifeCenter Northwest, 2025).</w:t>
      </w:r>
    </w:p>
    <w:p>
      <w:pPr>
        <w:spacing w:after="220" w:before="80" w:line="340"/>
        <w:jc w:val="both"/>
      </w:pPr>
      <w:r>
        <w:rPr>
          <w:rFonts w:ascii="Arial" w:cs="Arial" w:eastAsia="Arial" w:hAnsi="Arial"/>
          <w:b w:val="false"/>
          <w:bCs w:val="false"/>
          <w:i w:val="false"/>
          <w:iCs w:val="false"/>
          <w:color w:val="1A1A1A"/>
          <w:sz w:val="22"/>
          <w:szCs w:val="22"/>
        </w:rPr>
        <w:t xml:space="preserve">The NBER analysis of the 2019 OPO accountability reform found that the reform, which replaced self-reported performance metrics with standardized independently verified measures, increased kidney procurement by 29 percent among high-performing OPOs and generated estimated fiscal savings of $577 million annually through reduced dialysis expenditure (Ozbay et al., 2025). However, a 2025 peer-reviewed analysis found that 75 percent of the increase in kidney discard is attributable to donor characteristics — specifically the shift toward older, higher-comorbidity donors — rather than OPO performance failures, suggesting that current OPO performance tier assignments may be attributing structural changes in the donor pool to OPO accountability deficits (Bradbrook et al., 2025).</w:t>
      </w:r>
    </w:p>
    <w:p>
      <w:pPr>
        <w:spacing w:after="220" w:before="80" w:line="340"/>
        <w:jc w:val="both"/>
      </w:pPr>
      <w:r>
        <w:rPr>
          <w:rFonts w:ascii="Arial" w:cs="Arial" w:eastAsia="Arial" w:hAnsi="Arial"/>
          <w:b w:val="false"/>
          <w:bCs w:val="false"/>
          <w:i w:val="false"/>
          <w:iCs w:val="false"/>
          <w:color w:val="1A1A1A"/>
          <w:sz w:val="22"/>
          <w:szCs w:val="22"/>
        </w:rPr>
        <w:t xml:space="preserve">Critically, there is documented significant variation in non-utilization and discard rates among OPOs, with distinct clusters of OPOs associated with differing likelihoods of kidney non-utilization (Bradbrook et al., 2025). This variation exists independent of donor pool characteristics, indicating genuine process performance differences that accountability measures can and should address. The policy design challenge is creating metrics that distinguish true OPO performance from the confounding effects of donor pool composition — a methodological challenge that the current CMS tier system has not fully solved.</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4. Analyze: Root Cause Investigation</w:t>
      </w:r>
    </w:p>
    <w:p>
      <w:pPr>
        <w:pStyle w:val="Heading2"/>
        <w:spacing w:after="160" w:before="280" w:line="280"/>
        <w:jc w:val="left"/>
      </w:pPr>
      <w:r>
        <w:rPr>
          <w:rFonts w:ascii="Arial" w:cs="Arial" w:eastAsia="Arial" w:hAnsi="Arial"/>
          <w:b/>
          <w:bCs/>
          <w:i w:val="false"/>
          <w:iCs w:val="false"/>
          <w:color w:val="1B2A4A"/>
          <w:sz w:val="25"/>
          <w:szCs w:val="25"/>
        </w:rPr>
        <w:t xml:space="preserve">4.1 Ishikawa Cause-and-Effect: The Living Donor Problem</w:t>
      </w:r>
    </w:p>
    <w:p>
      <w:pPr>
        <w:spacing w:after="220" w:before="80" w:line="340"/>
        <w:jc w:val="both"/>
      </w:pPr>
      <w:r>
        <w:rPr>
          <w:rFonts w:ascii="Arial" w:cs="Arial" w:eastAsia="Arial" w:hAnsi="Arial"/>
          <w:b w:val="false"/>
          <w:bCs w:val="false"/>
          <w:i w:val="false"/>
          <w:iCs w:val="false"/>
          <w:color w:val="1A1A1A"/>
          <w:sz w:val="22"/>
          <w:szCs w:val="22"/>
        </w:rPr>
        <w:t xml:space="preserve">Why has the U.S. living donor rate remained essentially flat for more than a decade despite documented capacity for growth, federal investment, and broad professional consensus that living donor kidney transplantation produces superior outcomes? The Ishikawa decomposition across six categories — Methods, Measurement, Manpower, Machines, Materials, and Milieu — reveals a root cause environment that is distributed, compounding, and largely policy-addressable.</w:t>
      </w:r>
    </w:p>
    <w:p>
      <w:pPr>
        <w:spacing w:after="220" w:before="80" w:line="340"/>
        <w:jc w:val="both"/>
      </w:pPr>
      <w:r>
        <w:rPr>
          <w:rFonts w:ascii="Arial" w:cs="Arial" w:eastAsia="Arial" w:hAnsi="Arial"/>
          <w:b w:val="false"/>
          <w:bCs w:val="false"/>
          <w:i w:val="false"/>
          <w:iCs w:val="false"/>
          <w:color w:val="1A1A1A"/>
          <w:sz w:val="22"/>
          <w:szCs w:val="22"/>
        </w:rPr>
        <w:t xml:space="preserve">Methods barriers include evaluation duplicated across centers, no standardized workup protocol, variable committee criteria for donor approval, and long evaluation queues. Measurement barriers include limited long-term donor outcome tracking — follow-up beyond two years is rare and follow-up at five or ten years is effectively absent from the U.S. system — and selection bias in the published donor outcome literature that may undercount adverse outcomes among donors who are lost to follow-up. Manpower barriers include inadequate donor advocate ratios, implicit bias in referral patterns, limited bilingual donor coordinators, and substantial inter-surgeon volume variation that affects both donor evaluation throughput and recipient outcomes.</w:t>
      </w:r>
    </w:p>
    <w:p>
      <w:pPr>
        <w:spacing w:after="220" w:before="80" w:line="340"/>
        <w:jc w:val="both"/>
      </w:pPr>
      <w:r>
        <w:rPr>
          <w:rFonts w:ascii="Arial" w:cs="Arial" w:eastAsia="Arial" w:hAnsi="Arial"/>
          <w:b w:val="false"/>
          <w:bCs w:val="false"/>
          <w:i w:val="false"/>
          <w:iCs w:val="false"/>
          <w:color w:val="1A1A1A"/>
          <w:sz w:val="22"/>
          <w:szCs w:val="22"/>
        </w:rPr>
        <w:t xml:space="preserve">Machines barriers include the absence of an interoperable national donor registry — donors who change transplant centers must undergo full re-evaluation because workup results are not portable — manual lab data exchange, siloed paired exchange algorithms, and limited telehealth evaluation options. Materials barriers center on the NLDAC financial structure. The NLDAC provides a maximum combined reimbursement of $6,000 for travel, lodging, lost wages, and dependent care across the full donation episode. Of this, lost wages are covered for only three days of evaluation trips and six weeks of surgery and recovery — amounts entirely inadequate for donors whose recovery extends beyond the covered period or whose lost wages exceed the cap. Average NLDAC reimbursement per donor is approximately $2,350, meaning most donors receive less than the already-insufficient maximum (Hays et al., 2019). Studies of living kidney donors find financial hardship ranging from 23 to 96 percent of donors, with most losing approximately one month's household wages (Dew &amp; Jacobs, 2012; Klarenbach et al., 2014). In contrast, the National Kidney Registry's Donor Shield program offers up to $24,000 in lost-wage coverage — a tenfold difference that illustrates both what is possible and how far federal support lags (National Kidney Registry, 2023).</w:t>
      </w:r>
    </w:p>
    <w:p>
      <w:pPr>
        <w:spacing w:after="220" w:before="80" w:line="340"/>
        <w:jc w:val="both"/>
      </w:pPr>
      <w:r>
        <w:rPr>
          <w:rFonts w:ascii="Arial" w:cs="Arial" w:eastAsia="Arial" w:hAnsi="Arial"/>
          <w:b w:val="false"/>
          <w:bCs w:val="false"/>
          <w:i w:val="false"/>
          <w:iCs w:val="false"/>
          <w:color w:val="1A1A1A"/>
          <w:sz w:val="22"/>
          <w:szCs w:val="22"/>
        </w:rPr>
        <w:t xml:space="preserve">Milieu barriers include persistent racial disparities — the Black living donor share fell from 11.9 percent in 2011 to 7.6 percent in 2022, a 36 percent relative decline — limited public education funding, geographic and rural inequity, pharmaceutical capture of patient advocacy organizations, and cultural distrust rooted in well-documented historical experiences with the U.S. medical system among Black and Native American communities. Insurance discrimination persists: the NLDAC explicitly prohibits assistance to donors who are eligible for other assistance, including insurance travel benefits, creating a maze of secondary-payer requirements that discourages application.</w:t>
      </w:r>
    </w:p>
    <w:p>
      <w:pPr>
        <w:pStyle w:val="Heading2"/>
        <w:spacing w:after="160" w:before="280" w:line="280"/>
        <w:jc w:val="left"/>
      </w:pPr>
      <w:r>
        <w:rPr>
          <w:rFonts w:ascii="Arial" w:cs="Arial" w:eastAsia="Arial" w:hAnsi="Arial"/>
          <w:b/>
          <w:bCs/>
          <w:i w:val="false"/>
          <w:iCs w:val="false"/>
          <w:color w:val="1B2A4A"/>
          <w:sz w:val="25"/>
          <w:szCs w:val="25"/>
        </w:rPr>
        <w:t xml:space="preserve">4.2 Pareto Analysis of Donor Attrition</w:t>
      </w:r>
    </w:p>
    <w:p>
      <w:pPr>
        <w:spacing w:after="220" w:before="80" w:line="340"/>
        <w:jc w:val="both"/>
      </w:pPr>
      <w:r>
        <w:rPr>
          <w:rFonts w:ascii="Arial" w:cs="Arial" w:eastAsia="Arial" w:hAnsi="Arial"/>
          <w:b w:val="false"/>
          <w:bCs w:val="false"/>
          <w:i w:val="false"/>
          <w:iCs w:val="false"/>
          <w:color w:val="1A1A1A"/>
          <w:sz w:val="22"/>
          <w:szCs w:val="22"/>
        </w:rPr>
        <w:t xml:space="preserve">Four causes account for approximately 68 percent of living donor candidate attrition: financial and lost-wage barriers (approximately 26 percent of all attrition), insurance discrimination (approximately 17 percent), lengthy evaluation processes (approximately 14 percent), and family and caregiver logistics (approximately 11 percent). All four are policy-addressable without requiring changes to organ donation law or clinical transplant standards. The Pareto principle is directly operative here: interventions targeting only the four vital-few causes would address more than two thirds of preventable donor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560"/>
        <w:gridCol w:w="3720"/>
      </w:tblGrid>
      <w:tr>
        <w:trPr>
          <w:tblHeader/>
        </w:trPr>
        <w:tc>
          <w:tcPr>
            <w:tcW w:type="dxa" w:w="2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Attrition Cause</w:t>
            </w:r>
          </w:p>
        </w:tc>
        <w:tc>
          <w:tcPr>
            <w:tcW w:type="dxa" w:w="13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 Attrition</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Cumulative</w:t>
            </w:r>
          </w:p>
        </w:tc>
        <w:tc>
          <w:tcPr>
            <w:tcW w:type="dxa" w:w="37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Primary Policy Response</w:t>
            </w:r>
          </w:p>
        </w:tc>
      </w:tr>
      <w:tr>
        <w:trPr>
          <w:tblHeader w:val="false"/>
        </w:trPr>
        <w:tc>
          <w:tcPr>
            <w:tcW w:type="dxa" w:w="27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left"/>
            </w:pPr>
            <w:r>
              <w:rPr>
                <w:rFonts w:ascii="Arial" w:cs="Arial" w:eastAsia="Arial" w:hAnsi="Arial"/>
                <w:b/>
                <w:bCs/>
                <w:i w:val="false"/>
                <w:iCs w:val="false"/>
                <w:color w:val="1A1A1A"/>
                <w:sz w:val="18"/>
                <w:szCs w:val="18"/>
              </w:rPr>
              <w:t xml:space="preserve">Financial / lost wages (~$2,350 avg NLDAC reimb.)</w:t>
            </w:r>
          </w:p>
        </w:tc>
        <w:tc>
          <w:tcPr>
            <w:tcW w:type="dxa" w:w="13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~26%</w:t>
            </w:r>
          </w:p>
        </w:tc>
        <w:tc>
          <w:tcPr>
            <w:tcW w:type="dxa" w:w="15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26%</w:t>
            </w:r>
          </w:p>
        </w:tc>
        <w:tc>
          <w:tcPr>
            <w:tcW w:type="dxa" w:w="37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Lift NLDAC cap; HOLD Act; Living Organ Donor Tax Credit Act</w:t>
            </w:r>
          </w:p>
        </w:tc>
      </w:tr>
      <w:tr>
        <w:trPr>
          <w:tblHeader w:val="false"/>
        </w:trPr>
        <w:tc>
          <w:tcPr>
            <w:tcW w:type="dxa" w:w="27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left"/>
            </w:pPr>
            <w:r>
              <w:rPr>
                <w:rFonts w:ascii="Arial" w:cs="Arial" w:eastAsia="Arial" w:hAnsi="Arial"/>
                <w:b/>
                <w:bCs/>
                <w:i w:val="false"/>
                <w:iCs w:val="false"/>
                <w:color w:val="1A1A1A"/>
                <w:sz w:val="18"/>
                <w:szCs w:val="18"/>
              </w:rPr>
              <w:t xml:space="preserve">Insurance discrimination (life, disability, LTC)</w:t>
            </w:r>
          </w:p>
        </w:tc>
        <w:tc>
          <w:tcPr>
            <w:tcW w:type="dxa" w:w="13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~17%</w:t>
            </w:r>
          </w:p>
        </w:tc>
        <w:tc>
          <w:tcPr>
            <w:tcW w:type="dxa" w:w="15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43%</w:t>
            </w:r>
          </w:p>
        </w:tc>
        <w:tc>
          <w:tcPr>
            <w:tcW w:type="dxa" w:w="37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Living Donor Protection Act (federal floor)</w:t>
            </w:r>
          </w:p>
        </w:tc>
      </w:tr>
      <w:tr>
        <w:trPr>
          <w:tblHeader w:val="false"/>
        </w:trPr>
        <w:tc>
          <w:tcPr>
            <w:tcW w:type="dxa" w:w="27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left"/>
            </w:pPr>
            <w:r>
              <w:rPr>
                <w:rFonts w:ascii="Arial" w:cs="Arial" w:eastAsia="Arial" w:hAnsi="Arial"/>
                <w:b/>
                <w:bCs/>
                <w:i w:val="false"/>
                <w:iCs w:val="false"/>
                <w:color w:val="1A1A1A"/>
                <w:sz w:val="18"/>
                <w:szCs w:val="18"/>
              </w:rPr>
              <w:t xml:space="preserve">Lengthy/duplicated evaluation process</w:t>
            </w:r>
          </w:p>
        </w:tc>
        <w:tc>
          <w:tcPr>
            <w:tcW w:type="dxa" w:w="13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~14%</w:t>
            </w:r>
          </w:p>
        </w:tc>
        <w:tc>
          <w:tcPr>
            <w:tcW w:type="dxa" w:w="15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57%</w:t>
            </w:r>
          </w:p>
        </w:tc>
        <w:tc>
          <w:tcPr>
            <w:tcW w:type="dxa" w:w="37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Universal workup protocol; interoperable donor registry</w:t>
            </w:r>
          </w:p>
        </w:tc>
      </w:tr>
      <w:tr>
        <w:trPr>
          <w:tblHeader w:val="false"/>
        </w:trPr>
        <w:tc>
          <w:tcPr>
            <w:tcW w:type="dxa" w:w="27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left"/>
            </w:pPr>
            <w:r>
              <w:rPr>
                <w:rFonts w:ascii="Arial" w:cs="Arial" w:eastAsia="Arial" w:hAnsi="Arial"/>
                <w:b/>
                <w:bCs/>
                <w:i w:val="false"/>
                <w:iCs w:val="false"/>
                <w:color w:val="1A1A1A"/>
                <w:sz w:val="18"/>
                <w:szCs w:val="18"/>
              </w:rPr>
              <w:t xml:space="preserve">Family / caregiver logistics (childcare, eldercare)</w:t>
            </w:r>
          </w:p>
        </w:tc>
        <w:tc>
          <w:tcPr>
            <w:tcW w:type="dxa" w:w="13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~11%</w:t>
            </w:r>
          </w:p>
        </w:tc>
        <w:tc>
          <w:tcPr>
            <w:tcW w:type="dxa" w:w="156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68%</w:t>
            </w:r>
          </w:p>
        </w:tc>
        <w:tc>
          <w:tcPr>
            <w:tcW w:type="dxa" w:w="37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Telehealth eval; NLDAC dependent care expansion</w:t>
            </w:r>
          </w:p>
        </w:tc>
      </w:tr>
      <w:tr>
        <w:trPr>
          <w:tblHeader w:val="false"/>
        </w:trPr>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Geographic / rural access barriers</w:t>
            </w:r>
          </w:p>
        </w:tc>
        <w:tc>
          <w:tcPr>
            <w:tcW w:type="dxa" w:w="1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~9%</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77%</w:t>
            </w:r>
          </w:p>
        </w:tc>
        <w:tc>
          <w:tcPr>
            <w:tcW w:type="dxa" w:w="37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Regional OPO telehealth grants; mobile evaluation units</w:t>
            </w:r>
          </w:p>
        </w:tc>
      </w:tr>
      <w:tr>
        <w:trPr>
          <w:tblHeader w:val="false"/>
        </w:trPr>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Cultural distrust (especially Black community)</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84%</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Targeted community health worker programs</w:t>
            </w:r>
          </w:p>
        </w:tc>
      </w:tr>
      <w:tr>
        <w:trPr>
          <w:tblHeader w:val="false"/>
        </w:trPr>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Medical ineligibility (screened out at evaluation)</w:t>
            </w:r>
          </w:p>
        </w:tc>
        <w:tc>
          <w:tcPr>
            <w:tcW w:type="dxa" w:w="1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90%</w:t>
            </w:r>
          </w:p>
        </w:tc>
        <w:tc>
          <w:tcPr>
            <w:tcW w:type="dxa" w:w="37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Telehealth pre-screening to avoid full workup costs</w:t>
            </w:r>
          </w:p>
        </w:tc>
      </w:tr>
      <w:tr>
        <w:trPr>
          <w:tblHeader w:val="false"/>
        </w:trPr>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Employer leave denial (no FMLA protection)</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95%</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Living Donor Protection Act FMLA provision</w:t>
            </w:r>
          </w:p>
        </w:tc>
      </w:tr>
      <w:tr>
        <w:trPr>
          <w:tblHeader w:val="false"/>
        </w:trPr>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Lack of awareness of living donation option</w:t>
            </w:r>
          </w:p>
        </w:tc>
        <w:tc>
          <w:tcPr>
            <w:tcW w:type="dxa" w:w="13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~3%</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98%</w:t>
            </w:r>
          </w:p>
        </w:tc>
        <w:tc>
          <w:tcPr>
            <w:tcW w:type="dxa" w:w="37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National public education campaign</w:t>
            </w:r>
          </w:p>
        </w:tc>
      </w:tr>
      <w:tr>
        <w:trPr>
          <w:tblHeader w:val="false"/>
        </w:trPr>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Other / miscellaneous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100%</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Case-by-case programmatic support</w:t>
            </w:r>
          </w:p>
        </w:tc>
      </w:tr>
    </w:tbl>
    <w:p>
      <w:pPr>
        <w:spacing w:after="200" w:before="80" w:line="280"/>
        <w:jc w:val="center"/>
      </w:pPr>
      <w:r>
        <w:rPr>
          <w:rFonts w:ascii="Arial" w:cs="Arial" w:eastAsia="Arial" w:hAnsi="Arial"/>
          <w:b w:val="false"/>
          <w:bCs w:val="false"/>
          <w:i/>
          <w:iCs/>
          <w:color w:val="4A5568"/>
          <w:sz w:val="18"/>
          <w:szCs w:val="18"/>
        </w:rPr>
        <w:t xml:space="preserve">Figure 4. Pareto Analysis — Living Donor Candidate Attrition by Root Cause (per 1,000 initiated evaluations). Shaded rows are the vital few causes accounting for 68% of total attrition. Average NLDAC reimbursement of $2,350 documented in Hays et al. (2019). Proportional rankings are illustrative; derived from published donor-barrier literature. HOLD = Help Our Living Donors Act; FMLA = Family and Medical Leave Act.</w:t>
      </w:r>
    </w:p>
    <w:p>
      <w:pPr>
        <w:pStyle w:val="Heading2"/>
        <w:spacing w:after="160" w:before="280" w:line="280"/>
        <w:jc w:val="left"/>
      </w:pPr>
      <w:r>
        <w:rPr>
          <w:rFonts w:ascii="Arial" w:cs="Arial" w:eastAsia="Arial" w:hAnsi="Arial"/>
          <w:b/>
          <w:bCs/>
          <w:i w:val="false"/>
          <w:iCs w:val="false"/>
          <w:color w:val="1B2A4A"/>
          <w:sz w:val="25"/>
          <w:szCs w:val="25"/>
        </w:rPr>
        <w:t xml:space="preserve">4.3 Five-Whys: The Kidney Non-Use Rate</w:t>
      </w:r>
    </w:p>
    <w:p>
      <w:pPr>
        <w:spacing w:after="220" w:before="80" w:line="340"/>
        <w:jc w:val="both"/>
      </w:pPr>
      <w:r>
        <w:rPr>
          <w:rFonts w:ascii="Arial" w:cs="Arial" w:eastAsia="Arial" w:hAnsi="Arial"/>
          <w:b w:val="false"/>
          <w:bCs w:val="false"/>
          <w:i w:val="false"/>
          <w:iCs w:val="false"/>
          <w:color w:val="1A1A1A"/>
          <w:sz w:val="22"/>
          <w:szCs w:val="22"/>
        </w:rPr>
        <w:t xml:space="preserve">Applied to the 27.9 percent kidney non-use rate, the Five-Whys technique terminates at a structural misalignment between federal allocation policy and CMS quality metrics that has remained in place for over a decade despite broad professional recognition of the problem. The misalignment creates a stable Nash equilibrium: individual transplant centers behave rationally by declining marginal kidneys, maximizing their one-year outcome metrics for the patients they do transplant, while the aggregate system discards thousands of transplantable kidneys annually. No individual actor in this equilibrium is acting irrationally; the system is producing a collectively irrational outcome from individually rational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val="false"/>
        </w:trPr>
        <w:tc>
          <w:tcPr>
            <w:tcW w:type="dxa" w:w="144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PROBLEM</w:t>
            </w:r>
          </w:p>
        </w:tc>
        <w:tc>
          <w:tcPr>
            <w:tcW w:type="dxa" w:w="792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27.9% of recovered deceased-donor kidneys go unused (~6,500 transplants forgone annually; in 2024, nearly 9,500 kidneys went unused while 3,000+ patients died on the waitlist)</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Why #1</w:t>
            </w:r>
          </w:p>
        </w:tc>
        <w:tc>
          <w:tcPr>
            <w:tcW w:type="dxa" w:w="79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Centers refuse offered kidneys at high rates — Accumulated Refusal Counts routinely exceed 50 for kidneys ultimately not transplanted; in 2023, 26,253,656 offers were made to place 8,570 ultimately unused kidneys</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Why #2</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Risk-adjusted center outcome metrics penalize poor 1-year graft survival more heavily than they reward expanded utilization, creating rational institutional incentives to decline marginal organs</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Why #3</w:t>
            </w:r>
          </w:p>
        </w:tc>
        <w:tc>
          <w:tcPr>
            <w:tcW w:type="dxa" w:w="79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Cold ischemia time accumulates during sequential offers — each refusal adds 1 to 3 hours — reducing perceived organ quality for subsequent offers and making acceptance progressively less likely</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Why #4</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Allocation infrastructure relies on commercial flights and courier networks without real-time tracking or backup logistics; transportation difficulties are the primary reason for discard of machine-perfused kidneys</w:t>
            </w:r>
          </w:p>
        </w:tc>
      </w:tr>
      <w:tr>
        <w:trPr>
          <w:tblHeader w:val="false"/>
        </w:trPr>
        <w:tc>
          <w:tcPr>
            <w:tcW w:type="dxa" w:w="144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Why #5 (Root)</w:t>
            </w:r>
          </w:p>
        </w:tc>
        <w:tc>
          <w:tcPr>
            <w:tcW w:type="dxa" w:w="792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Federal allocation policy seeks population-level utilization while CMS quality metrics reward center-level outcomes for transplanted patients only — a structural misalignment that no individual center or OPO can resolve unilaterally</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IOTA Response</w:t>
            </w:r>
          </w:p>
        </w:tc>
        <w:tc>
          <w:tcPr>
            <w:tcW w:type="dxa" w:w="79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CMS IOTA Model (launched July 1, 2025) partially addresses this by adding transplant volume to the performance domain for 103 hospitals, but covers only ~40% of transplant hospitals and is not yet permanent</w:t>
            </w:r>
          </w:p>
        </w:tc>
      </w:tr>
      <w:tr>
        <w:trPr>
          <w:tblHeader w:val="false"/>
        </w:trPr>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2D6A2D"/>
                <w:sz w:val="18"/>
                <w:szCs w:val="18"/>
              </w:rPr>
              <w:t xml:space="preserve">Countermeasure</w:t>
            </w:r>
          </w:p>
        </w:tc>
        <w:tc>
          <w:tcPr>
            <w:tcW w:type="dxa" w:w="792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Fully realign CMS quality metrics system-wide to include utilization rate at ≥30% weight; mandate machine perfusion for KDPI &gt;50%; implement Expedited Placement Policy with statistical ARC triggers; make IOTA Model architecture permanent in Conditions of Participation</w:t>
            </w:r>
          </w:p>
        </w:tc>
      </w:tr>
    </w:tbl>
    <w:p>
      <w:pPr>
        <w:spacing w:after="200" w:before="80" w:line="280"/>
        <w:jc w:val="center"/>
      </w:pPr>
      <w:r>
        <w:rPr>
          <w:rFonts w:ascii="Arial" w:cs="Arial" w:eastAsia="Arial" w:hAnsi="Arial"/>
          <w:b w:val="false"/>
          <w:bCs w:val="false"/>
          <w:i/>
          <w:iCs/>
          <w:color w:val="4A5568"/>
          <w:sz w:val="18"/>
          <w:szCs w:val="18"/>
        </w:rPr>
        <w:t xml:space="preserve">Figure 5. Five-Whys Root Cause Analysis — Kidney Non-Use Rate of 27.9% (2023) with IOTA Model annotation. The terminal root cause drives a specific countermeasure portfolio. 2024 non-use data: LifeCenter Northwest (2025). 2023 offers data: LifeCenter Northwest (2025). Sources: Stewart et al. (2026); Lentine et al. (2025); CMS (2025); HRSA (2025a).</w:t>
      </w:r>
    </w:p>
    <w:p>
      <w:pPr>
        <w:pStyle w:val="Heading2"/>
        <w:spacing w:after="160" w:before="280" w:line="280"/>
        <w:jc w:val="left"/>
      </w:pPr>
      <w:r>
        <w:rPr>
          <w:rFonts w:ascii="Arial" w:cs="Arial" w:eastAsia="Arial" w:hAnsi="Arial"/>
          <w:b/>
          <w:bCs/>
          <w:i w:val="false"/>
          <w:iCs w:val="false"/>
          <w:color w:val="1B2A4A"/>
          <w:sz w:val="25"/>
          <w:szCs w:val="25"/>
        </w:rPr>
        <w:t xml:space="preserve">4.4 The Barrier-Stack Model of Living Donor Attrition</w:t>
      </w:r>
    </w:p>
    <w:p>
      <w:pPr>
        <w:spacing w:after="220" w:before="80" w:line="340"/>
        <w:jc w:val="both"/>
      </w:pPr>
      <w:r>
        <w:rPr>
          <w:rFonts w:ascii="Arial" w:cs="Arial" w:eastAsia="Arial" w:hAnsi="Arial"/>
          <w:b w:val="false"/>
          <w:bCs w:val="false"/>
          <w:i w:val="false"/>
          <w:iCs w:val="false"/>
          <w:color w:val="1A1A1A"/>
          <w:sz w:val="22"/>
          <w:szCs w:val="22"/>
        </w:rPr>
        <w:t xml:space="preserve">The barrier-stack model characterizes cumulative attrition in the living donor pipeline through compound probability decay. Beginning with a hypothetical pool of 100,000 potential donors per year, cascading attrition through awareness, cultural trust, medical screening, financial, insurance, and psychosocial filters reduces the population to approximately 7,200 completed donations — a figure that aligns with the actual 2025 total of 7,237 U.S. living organ donors (UNOS, 2026).</w:t>
      </w:r>
    </w:p>
    <w:p>
      <w:pPr>
        <w:spacing w:after="220" w:before="80" w:line="340"/>
        <w:jc w:val="both"/>
      </w:pPr>
      <w:r>
        <w:rPr>
          <w:rFonts w:ascii="Arial" w:cs="Arial" w:eastAsia="Arial" w:hAnsi="Arial"/>
          <w:b w:val="false"/>
          <w:bCs w:val="false"/>
          <w:i w:val="false"/>
          <w:iCs w:val="false"/>
          <w:color w:val="1A1A1A"/>
          <w:sz w:val="22"/>
          <w:szCs w:val="22"/>
        </w:rPr>
        <w:t xml:space="preserve">The model's policy implications are compounding and directional: a 5 percent improvement in pass-through rates at each of the six major filter stages would increase completed donations by approximately 35 percent — from roughly 7,200 to nearly 9,700 annually, representing more than 2,500 additional kidney transplants per year. The model reframes the living donor growth question from a recruitment problem (getting more candidates to enter at the top of the funnel) to a retention problem (preventing candidates from dropping out along the way). This reframing has direct policy implications: public awareness campaigns address only the first filter; the four largest filters — financial, insurance, evaluation logistics, and family logistics — all require policy intervention at the federal level.</w:t>
      </w:r>
    </w:p>
    <w:p>
      <w:pPr>
        <w:spacing w:after="220" w:before="80" w:line="340"/>
        <w:jc w:val="both"/>
      </w:pPr>
      <w:r>
        <w:rPr>
          <w:rFonts w:ascii="Arial" w:cs="Arial" w:eastAsia="Arial" w:hAnsi="Arial"/>
          <w:b w:val="false"/>
          <w:bCs w:val="false"/>
          <w:i w:val="false"/>
          <w:iCs w:val="false"/>
          <w:color w:val="1A1A1A"/>
          <w:sz w:val="22"/>
          <w:szCs w:val="22"/>
        </w:rPr>
        <w:t xml:space="preserve">The financial filter alone accounts for an 18 percent reduction in the donor pool, from 32,000 candidates who clear medical screening to approximately 14,000 who clear the financial and lost-wage filter. This is the largest single policy-addressable filter in the entire pipeline, and it operates through a federal program — the NLDAC — whose inadequacy is not a matter of debate. The average NLDAC reimbursement of $2,350 per donor against total unreimbursed costs estimated at $3,200 or more means that the federal program is covering less than half of donor out-of-pocket costs even for the 9 percent of donors who qualify for NLDAC assistance.</w:t>
      </w:r>
    </w:p>
    <w:p>
      <w:pPr>
        <w:pStyle w:val="Heading2"/>
        <w:spacing w:after="160" w:before="280" w:line="280"/>
        <w:jc w:val="left"/>
      </w:pPr>
      <w:r>
        <w:rPr>
          <w:rFonts w:ascii="Arial" w:cs="Arial" w:eastAsia="Arial" w:hAnsi="Arial"/>
          <w:b/>
          <w:bCs/>
          <w:i w:val="false"/>
          <w:iCs w:val="false"/>
          <w:color w:val="1B2A4A"/>
          <w:sz w:val="25"/>
          <w:szCs w:val="25"/>
        </w:rPr>
        <w:t xml:space="preserve">4.5 Out-of-Sequence Allocation: A Systemic Compliance Failure</w:t>
      </w:r>
    </w:p>
    <w:p>
      <w:pPr>
        <w:spacing w:after="220" w:before="80" w:line="340"/>
        <w:jc w:val="both"/>
      </w:pPr>
      <w:r>
        <w:rPr>
          <w:rFonts w:ascii="Arial" w:cs="Arial" w:eastAsia="Arial" w:hAnsi="Arial"/>
          <w:b w:val="false"/>
          <w:bCs w:val="false"/>
          <w:i w:val="false"/>
          <w:iCs w:val="false"/>
          <w:color w:val="1A1A1A"/>
          <w:sz w:val="22"/>
          <w:szCs w:val="22"/>
        </w:rPr>
        <w:t xml:space="preserve">A significant development in the regulatory environment occurred on February 21, 2025, when HRSA issued a formal directive to the OPTN stating that widespread use of out-of-sequence (OOS) organ placement is noncompliant with federal regulations as currently practiced. HRSA's review found that more than one fifth of kidneys are now allocated outside the established match run order, and that this practice violates national allocation policy by prioritizing transplant centers over individual patients — contradicting the fundamental principle that organ allocation serves patient medical need, not center convenience or operational efficiency (HRSA, 2025a; Health Affairs Forefront, 2025).</w:t>
      </w:r>
    </w:p>
    <w:p>
      <w:pPr>
        <w:spacing w:after="220" w:before="80" w:line="340"/>
        <w:jc w:val="both"/>
      </w:pPr>
      <w:r>
        <w:rPr>
          <w:rFonts w:ascii="Arial" w:cs="Arial" w:eastAsia="Arial" w:hAnsi="Arial"/>
          <w:b w:val="false"/>
          <w:bCs w:val="false"/>
          <w:i w:val="false"/>
          <w:iCs w:val="false"/>
          <w:color w:val="1A1A1A"/>
          <w:sz w:val="22"/>
          <w:szCs w:val="22"/>
        </w:rPr>
        <w:t xml:space="preserve">The directive ordered the OPTN to submit a remediation plan by March 31, 2025, requiring stricter oversight, clearer definitions of allocation exceptions, and increased transparency regarding how often and why patients are bypassed. HRSA explicitly stated that OPOs do not have the authority to make OOS offers, reinforcing that the match run sequence is a federal regulatory requirement, not an advisory guideline. In May 2025, HRSA issued a follow-up directive requiring the OPTN to submit an analytic definition of OOS allocation, along with a justification for the inclusion or exclusion of specific coding parameters (Health Affairs Forefront, 2025).</w:t>
      </w:r>
    </w:p>
    <w:p>
      <w:pPr>
        <w:spacing w:after="220" w:before="80" w:line="340"/>
        <w:jc w:val="both"/>
      </w:pPr>
      <w:r>
        <w:rPr>
          <w:rFonts w:ascii="Arial" w:cs="Arial" w:eastAsia="Arial" w:hAnsi="Arial"/>
          <w:b w:val="false"/>
          <w:bCs w:val="false"/>
          <w:i w:val="false"/>
          <w:iCs w:val="false"/>
          <w:color w:val="1A1A1A"/>
          <w:sz w:val="22"/>
          <w:szCs w:val="22"/>
        </w:rPr>
        <w:t xml:space="preserve">The OOS allocation finding intersects with the non-use problem in a specific and important way. OOS placement is in part a response to the sequential refusal problem: when a kidney has accumulated many refusals and cold time is increasing, OPOs and centers sometimes attempt to place the organ outside the standard sequence to find an accepting center faster. The practice, while motivated by a legitimate desire to avoid discard, creates its own equity failures — patients who are higher on the match run may be bypassed in favor of centers that happen to be geographically convenient or administratively accessible. The Expedited Placement Policy under development is intended to provide a formal, policy-sanctioned pathway for exactly this situation, creating a transparent, equitable, data-driven alternative to ad hoc OOS placement.</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5. Improve: Countermeasure Portfolio and Future-State Design</w:t>
      </w:r>
    </w:p>
    <w:p>
      <w:pPr>
        <w:pStyle w:val="Heading2"/>
        <w:spacing w:after="160" w:before="280" w:line="280"/>
        <w:jc w:val="left"/>
      </w:pPr>
      <w:r>
        <w:rPr>
          <w:rFonts w:ascii="Arial" w:cs="Arial" w:eastAsia="Arial" w:hAnsi="Arial"/>
          <w:b/>
          <w:bCs/>
          <w:i w:val="false"/>
          <w:iCs w:val="false"/>
          <w:color w:val="1B2A4A"/>
          <w:sz w:val="25"/>
          <w:szCs w:val="25"/>
        </w:rPr>
        <w:t xml:space="preserve">5.1 The Future-State Value Stream</w:t>
      </w:r>
    </w:p>
    <w:p>
      <w:pPr>
        <w:spacing w:after="220" w:before="80" w:line="340"/>
        <w:jc w:val="both"/>
      </w:pPr>
      <w:r>
        <w:rPr>
          <w:rFonts w:ascii="Arial" w:cs="Arial" w:eastAsia="Arial" w:hAnsi="Arial"/>
          <w:b w:val="false"/>
          <w:bCs w:val="false"/>
          <w:i w:val="false"/>
          <w:iCs w:val="false"/>
          <w:color w:val="1A1A1A"/>
          <w:sz w:val="22"/>
          <w:szCs w:val="22"/>
        </w:rPr>
        <w:t xml:space="preserve">The improve phase requires the design of a future state grounded in analyzed root causes — not incremental adjustment but coherent re-engineering. The future-state process flow aligns six milestones across three lanes: patients and care partners; transplant centers and OPOs; and federal agencies (OPTN, HRSA, CMS). At the entry point, an automated EHR trigger initiates transplant referral when eGFR falls to 25 mL/min/1.73 m² or below, accompanied by a CMS quality incentive for referral and HRSA-funded universal donor workup grants. At milestone two, a universal donor workup portal achieves 48-hour scheduling with protocols accepted across all centers. At milestone three, education and care-partner co-enrollment occur with continuous distribution and out-of-sequence allocation operating under formally defined ARC-threshold triggers. Subsequent milestones integrate telehealth evaluation, machine perfusion as default for KDPI above 50 percent, real-time biopsy telepathology, and standardized post-transplant and donor follow-up. The target state — an 18 to 24-month referral-to-transplant cycle for the living donor pathway — represents a 70 to 85 percent reduction in total lead time and an improvement in PCE from 0.5 percent to approximately 4 to 6 percent system-wide.</w:t>
      </w:r>
    </w:p>
    <w:p>
      <w:pPr>
        <w:pStyle w:val="Heading2"/>
        <w:spacing w:after="160" w:before="280" w:line="280"/>
        <w:jc w:val="left"/>
      </w:pPr>
      <w:r>
        <w:rPr>
          <w:rFonts w:ascii="Arial" w:cs="Arial" w:eastAsia="Arial" w:hAnsi="Arial"/>
          <w:b/>
          <w:bCs/>
          <w:i w:val="false"/>
          <w:iCs w:val="false"/>
          <w:color w:val="1B2A4A"/>
          <w:sz w:val="25"/>
          <w:szCs w:val="25"/>
        </w:rPr>
        <w:t xml:space="preserve">5.2 Countermeasure Portfolio</w:t>
      </w:r>
    </w:p>
    <w:p>
      <w:pPr>
        <w:spacing w:after="220" w:before="80" w:line="340"/>
        <w:jc w:val="both"/>
      </w:pPr>
      <w:r>
        <w:rPr>
          <w:rFonts w:ascii="Arial" w:cs="Arial" w:eastAsia="Arial" w:hAnsi="Arial"/>
          <w:b w:val="false"/>
          <w:bCs w:val="false"/>
          <w:i w:val="false"/>
          <w:iCs w:val="false"/>
          <w:color w:val="1A1A1A"/>
          <w:sz w:val="22"/>
          <w:szCs w:val="22"/>
        </w:rPr>
        <w:t xml:space="preserve">The eleven-item countermeasure portfolio targets the highest-leverage causes of underperformance. Each item is evidence-based, assigned to an identified implementation owner, and linked to a specific causal mechanism identified in the Analyze phase. The portfolio has been updated from Version 1.0 to reflect the launch of the IOTA Model, HRSA's OOS allocation directive, and the 2026 AKF Living Donor Protection Report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1800"/>
        <w:gridCol w:w="1800"/>
      </w:tblGrid>
      <w:tr>
        <w:trPr>
          <w:tblHeader/>
        </w:trPr>
        <w:tc>
          <w:tcPr>
            <w:tcW w:type="dxa" w:w="25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Countermeasure</w:t>
            </w:r>
          </w:p>
        </w:tc>
        <w:tc>
          <w:tcPr>
            <w:tcW w:type="dxa" w:w="32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Mechanism of Effect / Evidence Base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Lead Owner</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Target Timeline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Reform NLDAC: eliminate income-based eligibility; raise cap to $24,000; match Donor Shield standard</w:t>
            </w:r>
          </w:p>
        </w:tc>
        <w:tc>
          <w:tcPr>
            <w:tcW w:type="dxa" w:w="32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Financial barriers are the single largest Pareto cause of donor attrition; avg NLDAC reimb is $2,350 vs total donor costs exceeding $5,500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HRSA / Congress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2026</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Enact Living Donor Protection Act (federal)</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Removes life/disability/LTC insurance discrimination; codifies FMLA coverage nationwide; 28 states have enacted state-level protections but federal floor needed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Congress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2026–27</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Enact Living Organ Donor Tax Credit Act (H.R. 3698)</w:t>
            </w:r>
          </w:p>
        </w:tc>
        <w:tc>
          <w:tcPr>
            <w:tcW w:type="dxa" w:w="32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Refundable $5,000 tax credit per living organ donor; directly offsets residual post-NLDAC financial burden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Congress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2026–27</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Universal donor workup protocol accepted across all centers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Eliminates evaluation duplication; enables workup portability; reduces evaluation timeline by estimated 40–60%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OPTN Policy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2027</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Expedited Placement Policy with ARC threshold triggers</w:t>
            </w:r>
          </w:p>
        </w:tc>
        <w:tc>
          <w:tcPr>
            <w:tcW w:type="dxa" w:w="32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Formally sanctioned OOS pathway replacing informal ad-hoc OOS; ARC=6 for type O triggers &gt;50% non-use risk; ARC=4 for types A/B; ARC=1 for type AB</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OPTN Ops Comm.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2027</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Mandatory HMP for all kidneys with KDPI &gt;50%</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HMP mitigates CIT-related DGF and graft loss; France mandates HMP at 68% utilization vs U.S. 35–40%; Cochrane review confirms superiority over static cold storage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OPTN / CMS CoP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2027</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Make IOTA Model permanent in CMS Conditions of Participation</w:t>
            </w:r>
          </w:p>
        </w:tc>
        <w:tc>
          <w:tcPr>
            <w:tcW w:type="dxa" w:w="32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IOTA's transplant-volume incentive architecture resolves the core metric misalignment but covers only 40% of hospitals and expires in 2031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CMS Rulemaking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2028</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Public real-time OPTN performance dashboards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Transparency creates political accountability; dashboards must include utilization rate, living donor completion rate, equity metrics by race/ethnicity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HRSA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Underway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CMS quality metric: organ utilization rate weight ≥30%</w:t>
            </w:r>
          </w:p>
        </w:tc>
        <w:tc>
          <w:tcPr>
            <w:tcW w:type="dxa" w:w="32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Countermeasure to Five-Whys root cause; must apply system-wide, not only to IOTA participants; Kidney Care Quality Alliance engagement recommended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CMS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2027–28</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10-year mandatory living donor outcome registry</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Current follow-up below 30% at 2 years; Australia exceeds 85% at 5 years with mandatory registry; donor safety requires long-term surveillance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HRSA / OPTN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2026+</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8"/>
                <w:szCs w:val="18"/>
              </w:rPr>
              <w:t xml:space="preserve">Care partner financial recognition pilot (CMS waiver)</w:t>
            </w:r>
          </w:p>
        </w:tc>
        <w:tc>
          <w:tcPr>
            <w:tcW w:type="dxa" w:w="32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$466,000 documented labor invoice over 17-year caregiving history; CMS 1115 waiver pathway available; Marie's Lifeline model provides implementation architecture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CMS / CIF</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FY 2028</w:t>
            </w:r>
          </w:p>
        </w:tc>
      </w:tr>
    </w:tbl>
    <w:p>
      <w:pPr>
        <w:spacing w:after="200" w:before="80" w:line="280"/>
        <w:jc w:val="center"/>
      </w:pPr>
      <w:r>
        <w:rPr>
          <w:rFonts w:ascii="Arial" w:cs="Arial" w:eastAsia="Arial" w:hAnsi="Arial"/>
          <w:b w:val="false"/>
          <w:bCs w:val="false"/>
          <w:i/>
          <w:iCs/>
          <w:color w:val="4A5568"/>
          <w:sz w:val="18"/>
          <w:szCs w:val="18"/>
        </w:rPr>
        <w:t xml:space="preserve">Table 1. Countermeasure Portfolio — Updated for Version 2.0. NLDAC = National Living Donor Assistance Center; HMP = hypothermic machine perfusion; KDPI = Kidney Donor Profile Index; ARC = Accumulated Refusal Count; DGF = delayed graft function; CIT = cold ischemia time; IOTA = Increasing Organ Transplant Access; LTC = long-term care; CoP = Conditions of Participation.</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6. Control: Sustaining Gains Through Institutionalized Measurement</w:t>
      </w:r>
    </w:p>
    <w:p>
      <w:pPr>
        <w:spacing w:after="220" w:before="80" w:line="340"/>
        <w:jc w:val="both"/>
      </w:pPr>
      <w:r>
        <w:rPr>
          <w:rFonts w:ascii="Arial" w:cs="Arial" w:eastAsia="Arial" w:hAnsi="Arial"/>
          <w:b w:val="false"/>
          <w:bCs w:val="false"/>
          <w:i w:val="false"/>
          <w:iCs w:val="false"/>
          <w:color w:val="1A1A1A"/>
          <w:sz w:val="22"/>
          <w:szCs w:val="22"/>
        </w:rPr>
        <w:t xml:space="preserve">The control phase distinguishes Lean Six Sigma from one-time quality improvement initiatives. Gains achieved during the improvement phase are lost without explicit, ongoing measurement infrastructure that detects regression and supports course correction. The transplant system's history provides cautionary examples: the non-use rate rose persistently after KAS250 implementation without triggering mandatory corrective action; living donor follow-up rates declined to below 30 percent at two years without generating a mandatory registry; OOS allocation expanded to more than 20 percent of kidney placements without triggering HRSA intervention until February 2025. Each of these failures is a control phase failure, not an improvement phase failure. The knowledge of what to do was present; the institutional machinery to detect drift and mandate response was not.</w:t>
      </w:r>
    </w:p>
    <w:p>
      <w:pPr>
        <w:pStyle w:val="Heading2"/>
        <w:spacing w:after="160" w:before="280" w:line="280"/>
        <w:jc w:val="left"/>
      </w:pPr>
      <w:r>
        <w:rPr>
          <w:rFonts w:ascii="Arial" w:cs="Arial" w:eastAsia="Arial" w:hAnsi="Arial"/>
          <w:b/>
          <w:bCs/>
          <w:i w:val="false"/>
          <w:iCs w:val="false"/>
          <w:color w:val="1B2A4A"/>
          <w:sz w:val="25"/>
          <w:szCs w:val="25"/>
        </w:rPr>
        <w:t xml:space="preserve">6.1 Statistical Process Control Governance</w:t>
      </w:r>
    </w:p>
    <w:p>
      <w:pPr>
        <w:spacing w:after="220" w:before="80" w:line="340"/>
        <w:jc w:val="both"/>
      </w:pPr>
      <w:r>
        <w:rPr>
          <w:rFonts w:ascii="Arial" w:cs="Arial" w:eastAsia="Arial" w:hAnsi="Arial"/>
          <w:b w:val="false"/>
          <w:bCs w:val="false"/>
          <w:i w:val="false"/>
          <w:iCs w:val="false"/>
          <w:color w:val="1A1A1A"/>
          <w:sz w:val="22"/>
          <w:szCs w:val="22"/>
        </w:rPr>
        <w:t xml:space="preserve">OPTN should publish quarterly statistical process control charts for at least the following metrics: kidney non-use rate; median time from referral to listing by center; living donor candidate completion rate by center; delayed graft function rate by CIT stratum; one-year and five-year death-censored graft survival; 90-day living donor adverse event rate; and OOS allocation rate. Each chart should use control limits established from a defined baseline and not re-centered continuously in response to process drift — an OPTN reporting practice that has historically obscured the significance of the non-use rate's upward trajectory. Statistically significant out-of-control signals should trigger mandatory root cause review within 60 days, with results reported publicly.</w:t>
      </w:r>
    </w:p>
    <w:p>
      <w:pPr>
        <w:spacing w:after="220" w:before="80" w:line="340"/>
        <w:jc w:val="both"/>
      </w:pPr>
      <w:r>
        <w:rPr>
          <w:rFonts w:ascii="Arial" w:cs="Arial" w:eastAsia="Arial" w:hAnsi="Arial"/>
          <w:b w:val="false"/>
          <w:bCs w:val="false"/>
          <w:i w:val="false"/>
          <w:iCs w:val="false"/>
          <w:color w:val="1A1A1A"/>
          <w:sz w:val="22"/>
          <w:szCs w:val="22"/>
        </w:rPr>
        <w:t xml:space="preserve">The IOTA Model, which launched July 1, 2025, generates a new source of quarterly performance data from 103 participating hospitals covering transplant volume, utilization efficiency, and quality metrics. These data should be incorporated into the OPTN SPC governance framework, creating a longitudinal dataset that spans both IOTA participants and non-participants and enables ongoing evaluation of the model's system-level effects.</w:t>
      </w:r>
    </w:p>
    <w:p>
      <w:pPr>
        <w:pStyle w:val="Heading2"/>
        <w:spacing w:after="160" w:before="280" w:line="280"/>
        <w:jc w:val="left"/>
      </w:pPr>
      <w:r>
        <w:rPr>
          <w:rFonts w:ascii="Arial" w:cs="Arial" w:eastAsia="Arial" w:hAnsi="Arial"/>
          <w:b/>
          <w:bCs/>
          <w:i w:val="false"/>
          <w:iCs w:val="false"/>
          <w:color w:val="1B2A4A"/>
          <w:sz w:val="25"/>
          <w:szCs w:val="25"/>
        </w:rPr>
        <w:t xml:space="preserve">6.2 Public Performance Transparency</w:t>
      </w:r>
    </w:p>
    <w:p>
      <w:pPr>
        <w:spacing w:after="220" w:before="80" w:line="340"/>
        <w:jc w:val="both"/>
      </w:pPr>
      <w:r>
        <w:rPr>
          <w:rFonts w:ascii="Arial" w:cs="Arial" w:eastAsia="Arial" w:hAnsi="Arial"/>
          <w:b w:val="false"/>
          <w:bCs w:val="false"/>
          <w:i w:val="false"/>
          <w:iCs w:val="false"/>
          <w:color w:val="1A1A1A"/>
          <w:sz w:val="22"/>
          <w:szCs w:val="22"/>
        </w:rPr>
        <w:t xml:space="preserve">The HRSA OPTN Modernization Initiative, announced in March 2023, has advanced public performance transparency with dashboards detailing transplant center and OPO performance, waitlist outcomes, and system status. The establishment in 2025 of an independent, elected OPTN Board of Directors separate from the OPTN contractor structure ended 40 years in which the OPTN Board and the contractor's corporate board were one and the same (HRSA, 2025b). The IOTA Model's data-sharing requirements and patient-notification provisions add an additional layer of center-level transparency that should be retained and expanded when the model is made permanent.</w:t>
      </w:r>
    </w:p>
    <w:p>
      <w:pPr>
        <w:spacing w:after="220" w:before="80" w:line="340"/>
        <w:jc w:val="both"/>
      </w:pPr>
      <w:r>
        <w:rPr>
          <w:rFonts w:ascii="Arial" w:cs="Arial" w:eastAsia="Arial" w:hAnsi="Arial"/>
          <w:b w:val="false"/>
          <w:bCs w:val="false"/>
          <w:i w:val="false"/>
          <w:iCs w:val="false"/>
          <w:color w:val="1A1A1A"/>
          <w:sz w:val="22"/>
          <w:szCs w:val="22"/>
        </w:rPr>
        <w:t xml:space="preserve">International evidence supports the accountability value of public transparency. The UK's NHS Blood and Transplant publishes center-level organ utilization data accessible to the public and explicitly ties funding decisions to center performance benchmarks (NHS Blood and Transplant, 2024). Spain's ONT publishes quarterly performance scorecards for all 37 transplant zones. Australia's ANZDATA registry, operated independently of transplant centers, publishes annual outcomes including living donor follow-up at five and ten years (ANZDATA, 2025).</w:t>
      </w:r>
    </w:p>
    <w:p>
      <w:pPr>
        <w:pStyle w:val="Heading2"/>
        <w:spacing w:after="160" w:before="280" w:line="280"/>
        <w:jc w:val="left"/>
      </w:pPr>
      <w:r>
        <w:rPr>
          <w:rFonts w:ascii="Arial" w:cs="Arial" w:eastAsia="Arial" w:hAnsi="Arial"/>
          <w:b/>
          <w:bCs/>
          <w:i w:val="false"/>
          <w:iCs w:val="false"/>
          <w:color w:val="1B2A4A"/>
          <w:sz w:val="25"/>
          <w:szCs w:val="25"/>
        </w:rPr>
        <w:t xml:space="preserve">6.3 Standard Work and Kaizen</w:t>
      </w:r>
    </w:p>
    <w:p>
      <w:pPr>
        <w:spacing w:after="220" w:before="80" w:line="340"/>
        <w:jc w:val="both"/>
      </w:pPr>
      <w:r>
        <w:rPr>
          <w:rFonts w:ascii="Arial" w:cs="Arial" w:eastAsia="Arial" w:hAnsi="Arial"/>
          <w:b w:val="false"/>
          <w:bCs w:val="false"/>
          <w:i w:val="false"/>
          <w:iCs w:val="false"/>
          <w:color w:val="1A1A1A"/>
          <w:sz w:val="22"/>
          <w:szCs w:val="22"/>
        </w:rPr>
        <w:t xml:space="preserve">Standard work documents should codify the universal donor workup protocol, the evaluation timeline, the committee review criteria, the post-transplant follow-up schedule, and the machine perfusion decision algorithm. The Kaizen cycle should operate on three time horizons: rapid-cycle events at the center level (quarterly); regional collaborative improvement cycles (semi-annual); and national policy review cycles coordinated through OPTN (annual). This nested Kaizen architecture creates the feedback loops by which center-level implementation experience informs policy refinement — the precise mechanism absent from the KAS250 implementation, which expanded geographic distribution without the feedback infrastructure to detect and respond to the non-use rate consequences.</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7. Implementation Roadmap and Phasing</w:t>
      </w:r>
    </w:p>
    <w:p>
      <w:pPr>
        <w:spacing w:after="220" w:before="80" w:line="340"/>
        <w:jc w:val="both"/>
      </w:pPr>
      <w:r>
        <w:rPr>
          <w:rFonts w:ascii="Arial" w:cs="Arial" w:eastAsia="Arial" w:hAnsi="Arial"/>
          <w:b w:val="false"/>
          <w:bCs w:val="false"/>
          <w:i w:val="false"/>
          <w:iCs w:val="false"/>
          <w:color w:val="1A1A1A"/>
          <w:sz w:val="22"/>
          <w:szCs w:val="22"/>
        </w:rPr>
        <w:t xml:space="preserve">The recommended implementation roadmap spans FY 2026 through FY 2030, phased into Foundation (FY 2026 through mid-FY 2027), Scaling (mid-FY 2027 through FY 2028), and Sustainment (FY 2029 through FY 2030 and beyond). Critical-path dependencies are explicit: the CMS utilization metric realignment cannot precede the rollout of IOTA Model data and public OPTN dashboards; the universal donor workup protocol gains maximum effectiveness when paired with the lifted NLDAC cap; and the 10-year mandatory donor outcome registry requires Foundation-phase establishment of HRSA data infrastructure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gridCol w:w="1440"/>
      </w:tblGrid>
      <w:tr>
        <w:trPr>
          <w:tblHeader/>
        </w:trPr>
        <w:tc>
          <w:tcPr>
            <w:tcW w:type="dxa" w:w="26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PHASE 1: FOUNDATION
FY 2026 – Mid-FY 2027</w:t>
            </w:r>
          </w:p>
        </w:tc>
        <w:tc>
          <w:tcPr>
            <w:tcW w:type="dxa" w:w="264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PHASE 2: SCALING
Mid-FY 2027 – FY 2028</w:t>
            </w:r>
          </w:p>
        </w:tc>
        <w:tc>
          <w:tcPr>
            <w:tcW w:type="dxa" w:w="264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PHASE 3: SUSTAINMENT
FY 2029 – FY 2030+</w:t>
            </w:r>
          </w:p>
        </w:tc>
        <w:tc>
          <w:tcPr>
            <w:tcW w:type="dxa" w:w="1440"/>
            <w:tcBorders>
              <w:top w:val="single" w:color="CCCCCC" w:sz="1"/>
              <w:left w:val="single" w:color="CCCCCC" w:sz="1"/>
              <w:bottom w:val="single" w:color="CCCCCC" w:sz="1"/>
              <w:right w:val="single" w:color="CCCCCC" w:sz="1"/>
            </w:tcBorders>
            <w:shd w:fill="4A556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LEAD OWNER</w:t>
            </w:r>
          </w:p>
        </w:tc>
      </w:tr>
      <w:tr>
        <w:trPr>
          <w:tblHeader w:val="false"/>
        </w:trPr>
        <w:tc>
          <w:tcPr>
            <w:tcW w:type="dxa" w:w="264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Reform NLDAC cap &amp; eligibility</w:t>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HRSA / Congress</w:t>
            </w:r>
          </w:p>
        </w:tc>
      </w:tr>
      <w:tr>
        <w:trPr>
          <w:tblHeader w:val="false"/>
        </w:trPr>
        <w:tc>
          <w:tcPr>
            <w:tcW w:type="dxa" w:w="264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Enact Living Donor Protection Act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Congress</w:t>
            </w:r>
          </w:p>
        </w:tc>
      </w:tr>
      <w:tr>
        <w:trPr>
          <w:tblHeader w:val="false"/>
        </w:trPr>
        <w:tc>
          <w:tcPr>
            <w:tcW w:type="dxa" w:w="264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Public OPTN dashboards (full operational)</w:t>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HRSA</w:t>
            </w:r>
          </w:p>
        </w:tc>
      </w:tr>
      <w:tr>
        <w:trPr>
          <w:tblHeader w:val="false"/>
        </w:trPr>
        <w:tc>
          <w:tcPr>
            <w:tcW w:type="dxa" w:w="264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Complete continuous distribution rollout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OPTN / HRSA</w:t>
            </w:r>
          </w:p>
        </w:tc>
      </w:tr>
      <w:tr>
        <w:trPr>
          <w:tblHeader w:val="false"/>
        </w:trPr>
        <w:tc>
          <w:tcPr>
            <w:tcW w:type="dxa" w:w="2640"/>
            <w:tcBorders>
              <w:top w:val="single" w:color="CCCCCC" w:sz="1"/>
              <w:left w:val="single" w:color="CCCCCC" w:sz="1"/>
              <w:bottom w:val="single" w:color="CCCCCC" w:sz="1"/>
              <w:right w:val="single" w:color="CCCCCC" w:sz="1"/>
            </w:tcBorders>
            <w:shd w:fill="EEF3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IOTA Model underway — monitor</w:t>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CMS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Expedited Placement Policy (ARC triggers)</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OPTN Ops Comm.</w:t>
            </w:r>
          </w:p>
        </w:tc>
      </w:tr>
      <w:tr>
        <w:trPr>
          <w:tblHeader w:val="false"/>
        </w:trPr>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Universal donor workup protocol</w:t>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OPTN Policy</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Mandatory HMP for KDPI &gt;50%</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OPTN / CMS</w:t>
            </w:r>
          </w:p>
        </w:tc>
      </w:tr>
      <w:tr>
        <w:trPr>
          <w:tblHeader w:val="false"/>
        </w:trPr>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CMS utilization metric weight ≥30%</w:t>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CMS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0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IOTA expansion to all transplant hospitals</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CMS Rulemaking</w:t>
            </w:r>
          </w:p>
        </w:tc>
      </w:tr>
      <w:tr>
        <w:trPr>
          <w:tblHeader w:val="false"/>
        </w:trPr>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10-yr mandatory living donor registry</w:t>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HRSA / OPTN</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Care partner financial recognition pilot</w:t>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CMS / CIF</w:t>
            </w:r>
          </w:p>
        </w:tc>
      </w:tr>
      <w:tr>
        <w:trPr>
          <w:tblHeader w:val="false"/>
        </w:trPr>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IOTA Model made permanent in CoP</w:t>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CMS</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
            </w:r>
          </w:p>
        </w:tc>
        <w:tc>
          <w:tcPr>
            <w:tcW w:type="dxa" w:w="26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SPC governance institutionalized</w:t>
            </w:r>
          </w:p>
        </w:tc>
        <w:tc>
          <w:tcPr>
            <w:tcW w:type="dxa" w:w="144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A1A1A"/>
                <w:sz w:val="18"/>
                <w:szCs w:val="18"/>
              </w:rPr>
              <w:t xml:space="preserve">OPTN Board</w:t>
            </w:r>
          </w:p>
        </w:tc>
      </w:tr>
    </w:tbl>
    <w:p>
      <w:pPr>
        <w:spacing w:after="200" w:before="80" w:line="280"/>
        <w:jc w:val="center"/>
      </w:pPr>
      <w:r>
        <w:rPr>
          <w:rFonts w:ascii="Arial" w:cs="Arial" w:eastAsia="Arial" w:hAnsi="Arial"/>
          <w:b w:val="false"/>
          <w:bCs w:val="false"/>
          <w:i/>
          <w:iCs/>
          <w:color w:val="4A5568"/>
          <w:sz w:val="18"/>
          <w:szCs w:val="18"/>
        </w:rPr>
        <w:t xml:space="preserve">Figure 6. Implementation Roadmap — OPTN/HRSA/CMS Transplant System Transformation (FY 2026–2030). Foundation phase establishes legislative authorities and data infrastructure. Scaling phase deploys clinical, allocation, and payment model interventions. Sustainment phase institutionalizes measurement, equity achievement, and care partner recognition. CoP = Conditions of Participation; HMP = hypothermic machine perfusion; ARC = Accumulated Refusal Count.</w:t>
      </w:r>
    </w:p>
    <w:p>
      <w:pPr>
        <w:spacing w:after="220" w:before="80" w:line="340"/>
        <w:jc w:val="both"/>
      </w:pPr>
      <w:r>
        <w:rPr>
          <w:rFonts w:ascii="Arial" w:cs="Arial" w:eastAsia="Arial" w:hAnsi="Arial"/>
          <w:b w:val="false"/>
          <w:bCs w:val="false"/>
          <w:i w:val="false"/>
          <w:iCs w:val="false"/>
          <w:color w:val="1A1A1A"/>
          <w:sz w:val="22"/>
          <w:szCs w:val="22"/>
        </w:rPr>
        <w:t xml:space="preserve">The IOTA Model's launch on July 1, 2025 represents a Foundation-phase achievement that arrived ahead of the document's recommended timeline. Its inclusion in the roadmap's Scaling phase as an expansion target — moving from 40 percent to 100 percent of transplant hospital coverage — and in the Sustainment phase as a permanent Conditions of Participation anchor reflects the CIF's position that IOTA provides the correct incentive architecture but insufficient coverage and durability in its current form.</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8. The IOTA Model: Deep Analysis and Reform Implications</w:t>
      </w:r>
    </w:p>
    <w:p>
      <w:pPr>
        <w:spacing w:after="220" w:before="80" w:line="340"/>
        <w:jc w:val="both"/>
      </w:pPr>
      <w:r>
        <w:rPr>
          <w:rFonts w:ascii="Arial" w:cs="Arial" w:eastAsia="Arial" w:hAnsi="Arial"/>
          <w:b w:val="false"/>
          <w:bCs w:val="false"/>
          <w:i w:val="false"/>
          <w:iCs w:val="false"/>
          <w:color w:val="1A1A1A"/>
          <w:sz w:val="22"/>
          <w:szCs w:val="22"/>
        </w:rPr>
        <w:t xml:space="preserve">The Increasing Organ Transplant Access Model represents the most significant structural intervention in transplant center payment design in the history of the U.S. transplant system. Its launch on July 1, 2025 — following a December 2024 Final Rule that itself revised a May 2024 proposed rule — created a six-year mandatory alternative payment model that touches approximately 40 percent of kidney transplant hospitals and, by design, reaches every Medicare kidney transplant performed at a participating hospital. A December 2025 proposed rule has already surfaced implementation issues requiring further revision, creating an evolving regulatory environment that this analysis documents as of June 2026.</w:t>
      </w:r>
    </w:p>
    <w:p>
      <w:pPr>
        <w:pStyle w:val="Heading2"/>
        <w:spacing w:after="160" w:before="280" w:line="280"/>
        <w:jc w:val="left"/>
      </w:pPr>
      <w:r>
        <w:rPr>
          <w:rFonts w:ascii="Arial" w:cs="Arial" w:eastAsia="Arial" w:hAnsi="Arial"/>
          <w:b/>
          <w:bCs/>
          <w:i w:val="false"/>
          <w:iCs w:val="false"/>
          <w:color w:val="1B2A4A"/>
          <w:sz w:val="25"/>
          <w:szCs w:val="25"/>
        </w:rPr>
        <w:t xml:space="preserve">8.1 IOTA Architecture and Payment Mechanics</w:t>
      </w:r>
    </w:p>
    <w:p>
      <w:pPr>
        <w:spacing w:after="220" w:before="80" w:line="340"/>
        <w:jc w:val="both"/>
      </w:pPr>
      <w:r>
        <w:rPr>
          <w:rFonts w:ascii="Arial" w:cs="Arial" w:eastAsia="Arial" w:hAnsi="Arial"/>
          <w:b w:val="false"/>
          <w:bCs w:val="false"/>
          <w:i w:val="false"/>
          <w:iCs w:val="false"/>
          <w:color w:val="1A1A1A"/>
          <w:sz w:val="22"/>
          <w:szCs w:val="22"/>
        </w:rPr>
        <w:t xml:space="preserve">IOTA applies to non-pediatric kidney transplant hospitals that performed an annual average of 11 or more kidney transplants in the three baseline years before July 1, 2025. CMS selected half of the Donation Service Areas and all eligible kidney transplant hospitals within them — 103 hospitals in total — as mandatory participants. The other half of eligible hospitals form the comparison group for evaluation purposes. This randomized selection design is methodologically sophisticated: it enables causal identification of IOTA's effects by creating a contemporaneous control group that faces identical market conditions but different incentive structures.</w:t>
      </w:r>
    </w:p>
    <w:p>
      <w:pPr>
        <w:spacing w:after="220" w:before="80" w:line="340"/>
        <w:jc w:val="both"/>
      </w:pPr>
      <w:r>
        <w:rPr>
          <w:rFonts w:ascii="Arial" w:cs="Arial" w:eastAsia="Arial" w:hAnsi="Arial"/>
          <w:b w:val="false"/>
          <w:bCs w:val="false"/>
          <w:i w:val="false"/>
          <w:iCs w:val="false"/>
          <w:color w:val="1A1A1A"/>
          <w:sz w:val="22"/>
          <w:szCs w:val="22"/>
        </w:rPr>
        <w:t xml:space="preserve">The performance score is calculated across three domains: Achievement (transplant volume relative to a trended baseline, with the baseline set at the average of the three prior years rather than the historical high — a revision from the proposed rule that addresses concerns about unattainable targets); Efficiency (organ utilization rate, measuring the fraction of organ offers accepted and transplanted); and Quality (composite graft survival and patient experience measures). The final performance score runs from 0 to 100. Hospitals scoring above a neutral zone threshold receive an upside risk payment of up to $15,000 per Medicare kidney transplant — increased from the initially proposed $8,000 in response to stakeholder feedback. Beginning in performance year two, hospitals scoring below the neutral zone owe a downside risk payment, creating a genuine two-sided risk structure that distinguishes IOTA from prior value-based care models in transplant.</w:t>
      </w:r>
    </w:p>
    <w:p>
      <w:pPr>
        <w:spacing w:after="220" w:before="80" w:line="340"/>
        <w:jc w:val="both"/>
      </w:pPr>
      <w:r>
        <w:rPr>
          <w:rFonts w:ascii="Arial" w:cs="Arial" w:eastAsia="Arial" w:hAnsi="Arial"/>
          <w:b w:val="false"/>
          <w:bCs w:val="false"/>
          <w:i w:val="false"/>
          <w:iCs w:val="false"/>
          <w:color w:val="1A1A1A"/>
          <w:sz w:val="22"/>
          <w:szCs w:val="22"/>
        </w:rPr>
        <w:t xml:space="preserve">The data-sharing and patient notification requirements are particularly notable. Participating hospitals must share performance data with CMS on a defined quarterly schedule and must notify attributed patients if their hospital is participating in the model, creating a transparency obligation that has no equivalent in the current transplant center Conditions of Participation. This notification requirement is an early implementation of the public accountability principle that this document recommends as a permanent feature of transplant center regulation.</w:t>
      </w:r>
    </w:p>
    <w:p>
      <w:pPr>
        <w:pStyle w:val="Heading2"/>
        <w:spacing w:after="160" w:before="280" w:line="280"/>
        <w:jc w:val="left"/>
      </w:pPr>
      <w:r>
        <w:rPr>
          <w:rFonts w:ascii="Arial" w:cs="Arial" w:eastAsia="Arial" w:hAnsi="Arial"/>
          <w:b/>
          <w:bCs/>
          <w:i w:val="false"/>
          <w:iCs w:val="false"/>
          <w:color w:val="1B2A4A"/>
          <w:sz w:val="25"/>
          <w:szCs w:val="25"/>
        </w:rPr>
        <w:t xml:space="preserve">8.2 Structural Limitations and Unintended Consequences</w:t>
      </w:r>
    </w:p>
    <w:p>
      <w:pPr>
        <w:spacing w:after="220" w:before="80" w:line="340"/>
        <w:jc w:val="both"/>
      </w:pPr>
      <w:r>
        <w:rPr>
          <w:rFonts w:ascii="Arial" w:cs="Arial" w:eastAsia="Arial" w:hAnsi="Arial"/>
          <w:b w:val="false"/>
          <w:bCs w:val="false"/>
          <w:i w:val="false"/>
          <w:iCs w:val="false"/>
          <w:color w:val="1A1A1A"/>
          <w:sz w:val="22"/>
          <w:szCs w:val="22"/>
        </w:rPr>
        <w:t xml:space="preserve">Despite its structural significance, IOTA has documented limitations that constrain its effectiveness as a standalone reform. First, it covers only 103 of approximately 250 kidney transplant hospitals — less than 40 percent — creating a situation where the incentive realignment is incomplete across the system. Centers in the comparison group continue to operate under the old incentive structure, creating competitive dynamics in which IOTA participants who accept marginal kidneys bear the outcome risk while comparison-group hospitals retain the option to decline. This competitive asymmetry could drive patient referral toward non-IOTA hospitals, partially offsetting IOTA's intended effects.</w:t>
      </w:r>
    </w:p>
    <w:p>
      <w:pPr>
        <w:spacing w:after="220" w:before="80" w:line="340"/>
        <w:jc w:val="both"/>
      </w:pPr>
      <w:r>
        <w:rPr>
          <w:rFonts w:ascii="Arial" w:cs="Arial" w:eastAsia="Arial" w:hAnsi="Arial"/>
          <w:b w:val="false"/>
          <w:bCs w:val="false"/>
          <w:i w:val="false"/>
          <w:iCs w:val="false"/>
          <w:color w:val="1A1A1A"/>
          <w:sz w:val="22"/>
          <w:szCs w:val="22"/>
        </w:rPr>
        <w:t xml:space="preserve">Second, the quality domain remains weighted toward post-transplant survival metrics for transplanted patients, not the pre-transplant access metrics most directly relevant to reducing waitlist mortality. The absence of risk-adjustment in the composite graft survival metric was the subject of more than 15 comments in the rulemaking process expressing concern that it could have adverse consequences — specifically, that centers accepting more marginal organs to maximize the Achievement domain would incur Quality domain penalties that offset the Achievement gains. The December 2025 proposed rule acknowledged this tension but had not fully resolved it as of the filing date.</w:t>
      </w:r>
    </w:p>
    <w:p>
      <w:pPr>
        <w:spacing w:after="220" w:before="80" w:line="340"/>
        <w:jc w:val="both"/>
      </w:pPr>
      <w:r>
        <w:rPr>
          <w:rFonts w:ascii="Arial" w:cs="Arial" w:eastAsia="Arial" w:hAnsi="Arial"/>
          <w:b w:val="false"/>
          <w:bCs w:val="false"/>
          <w:i w:val="false"/>
          <w:iCs w:val="false"/>
          <w:color w:val="1A1A1A"/>
          <w:sz w:val="22"/>
          <w:szCs w:val="22"/>
        </w:rPr>
        <w:t xml:space="preserve">Third, IOTA is authorized under CMMI's Section 1115A authority as a model, not as a permanent rule. It expires June 30, 2031. Without Congressional action or a CMS decision to expand the model to permanent Conditions of Participation, the incentive architecture reverts to the pre-IOTA structure at the end of the performance period — potentially erasing six years of institutional adaptation. The Cold Ischemia Foundation's position is that IOTA provides the correct incentive direction and must be codified as permanent CMS policy before 2031.</w:t>
      </w:r>
    </w:p>
    <w:p>
      <w:pPr>
        <w:spacing w:after="220" w:before="80" w:line="340"/>
        <w:jc w:val="both"/>
      </w:pPr>
      <w:r>
        <w:rPr>
          <w:rFonts w:ascii="Arial" w:cs="Arial" w:eastAsia="Arial" w:hAnsi="Arial"/>
          <w:b w:val="false"/>
          <w:bCs w:val="false"/>
          <w:i w:val="false"/>
          <w:iCs w:val="false"/>
          <w:color w:val="1A1A1A"/>
          <w:sz w:val="22"/>
          <w:szCs w:val="22"/>
        </w:rPr>
        <w:t xml:space="preserve">Fourth, IOTA does not address the living donor pathway. Its entire incentive architecture is focused on deceased donor kidney transplant volume and utilization. Living donor kidney transplants are included in the achievement domain's transplant target, but there are no IOTA provisions specifically addressing living donor evaluation support, donor financial assistance, or the care partner recognition that would reduce living donor attrition. Expanding IOTA's scope to include living donor-specific interventions is a significant gap that future CMS rulemaking should address.</w:t>
      </w:r>
    </w:p>
    <w:p>
      <w:pPr>
        <w:pStyle w:val="Heading2"/>
        <w:spacing w:after="160" w:before="280" w:line="280"/>
        <w:jc w:val="left"/>
      </w:pPr>
      <w:r>
        <w:rPr>
          <w:rFonts w:ascii="Arial" w:cs="Arial" w:eastAsia="Arial" w:hAnsi="Arial"/>
          <w:b/>
          <w:bCs/>
          <w:i w:val="false"/>
          <w:iCs w:val="false"/>
          <w:color w:val="1B2A4A"/>
          <w:sz w:val="25"/>
          <w:szCs w:val="25"/>
        </w:rPr>
        <w:t xml:space="preserve">8.3 IOTA as a Reform Platform</w:t>
      </w:r>
    </w:p>
    <w:p>
      <w:pPr>
        <w:spacing w:after="220" w:before="80" w:line="340"/>
        <w:jc w:val="both"/>
      </w:pPr>
      <w:r>
        <w:rPr>
          <w:rFonts w:ascii="Arial" w:cs="Arial" w:eastAsia="Arial" w:hAnsi="Arial"/>
          <w:b w:val="false"/>
          <w:bCs w:val="false"/>
          <w:i w:val="false"/>
          <w:iCs w:val="false"/>
          <w:color w:val="1A1A1A"/>
          <w:sz w:val="22"/>
          <w:szCs w:val="22"/>
        </w:rPr>
        <w:t xml:space="preserve">Despite its limitations, IOTA provides the most important structural reform platform available to the transplant system in the current policy environment. Its payment architecture, if extended to all transplant hospitals and made permanent, directly addresses the Five-Whys terminal root cause: it creates a federal financial incentive for transplant volume and utilization that partially counterbalances the disincentive created by one-year outcome metrics. Its data collection requirements create a new longitudinal dataset that will, for the first time, enable causal analysis of the relationship between incentive structure and transplant center behavior.</w:t>
      </w:r>
    </w:p>
    <w:p>
      <w:pPr>
        <w:spacing w:after="220" w:before="80" w:line="340"/>
        <w:jc w:val="both"/>
      </w:pPr>
      <w:r>
        <w:rPr>
          <w:rFonts w:ascii="Arial" w:cs="Arial" w:eastAsia="Arial" w:hAnsi="Arial"/>
          <w:b w:val="false"/>
          <w:bCs w:val="false"/>
          <w:i w:val="false"/>
          <w:iCs w:val="false"/>
          <w:color w:val="1A1A1A"/>
          <w:sz w:val="22"/>
          <w:szCs w:val="22"/>
        </w:rPr>
        <w:t xml:space="preserve">The CIF recommends three specific IOTA reforms for the December 2025 proposed rule and subsequent rulemaking cycles: mandatory expansion to all eligible kidney transplant hospitals by FY 2028, eliminating the comparison group structure; addition of a Living Donor Access domain that measures living donor evaluation completion rates, NLDAC utilization, and time-to-transplant for living donor candidates; and codification of the IOTA performance domain weights as permanent Conditions of Participation effective FY 2031, ensuring that the incentive architecture survives the model's statutory expiration.</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9. Cross-National Benchmarking and International Best Practice</w:t>
      </w:r>
    </w:p>
    <w:p>
      <w:pPr>
        <w:spacing w:after="220" w:before="80" w:line="340"/>
        <w:jc w:val="both"/>
      </w:pPr>
      <w:r>
        <w:rPr>
          <w:rFonts w:ascii="Arial" w:cs="Arial" w:eastAsia="Arial" w:hAnsi="Arial"/>
          <w:b w:val="false"/>
          <w:bCs w:val="false"/>
          <w:i w:val="false"/>
          <w:iCs w:val="false"/>
          <w:color w:val="1A1A1A"/>
          <w:sz w:val="22"/>
          <w:szCs w:val="22"/>
        </w:rPr>
        <w:t xml:space="preserve">Benchmarking the U.S. transplant system against international peers provides structural insight that domestic analysis alone cannot generate. Three national systems — Spain, France, and Australia — are examined here for their organizational, regulatory, and data-transparency innovations. Each produces meaningfully better outcomes on specific metrics. The comparison is instructive but not prescriptive: each system operates within social, legal, and institutional contexts that constrain direct importation, and the U.S. system's federal structure, decentralized hospital system, and constitutional constraints create a distinct reform environment.</w:t>
      </w:r>
    </w:p>
    <w:p>
      <w:pPr>
        <w:pStyle w:val="Heading2"/>
        <w:spacing w:after="160" w:before="280" w:line="280"/>
        <w:jc w:val="left"/>
      </w:pPr>
      <w:r>
        <w:rPr>
          <w:rFonts w:ascii="Arial" w:cs="Arial" w:eastAsia="Arial" w:hAnsi="Arial"/>
          <w:b/>
          <w:bCs/>
          <w:i w:val="false"/>
          <w:iCs w:val="false"/>
          <w:color w:val="1B2A4A"/>
          <w:sz w:val="25"/>
          <w:szCs w:val="25"/>
        </w:rPr>
        <w:t xml:space="preserve">9.1 Spain: The Organizational Model</w:t>
      </w:r>
    </w:p>
    <w:p>
      <w:pPr>
        <w:spacing w:after="220" w:before="80" w:line="340"/>
        <w:jc w:val="both"/>
      </w:pPr>
      <w:r>
        <w:rPr>
          <w:rFonts w:ascii="Arial" w:cs="Arial" w:eastAsia="Arial" w:hAnsi="Arial"/>
          <w:b w:val="false"/>
          <w:bCs w:val="false"/>
          <w:i w:val="false"/>
          <w:iCs w:val="false"/>
          <w:color w:val="1A1A1A"/>
          <w:sz w:val="22"/>
          <w:szCs w:val="22"/>
        </w:rPr>
        <w:t xml:space="preserve">Spain has maintained the world's highest deceased-donor transplant rate for more than three consecutive decades, reaching 49.6 donors per million population in 2023 compared to approximately 43 pmp in the United States (ONT, 2025; UNOS, 2026). The foundational mechanism is not the opt-out consent law — which research consistently shows is not the primary driver of Spain's performance — but the transplant coordinator model embedded within hospital ICUs. Spain employs approximately 1,800 hospital-based transplant coordinators, the majority of whom are critical care physicians with specialized training in donor recognition and family communication (Matesanz et al., 2017). Their physical presence in ICUs enables real-time donor identification before family approach, dramatically reducing missed donation opportunities.</w:t>
      </w:r>
    </w:p>
    <w:p>
      <w:pPr>
        <w:spacing w:after="220" w:before="80" w:line="340"/>
        <w:jc w:val="both"/>
      </w:pPr>
      <w:r>
        <w:rPr>
          <w:rFonts w:ascii="Arial" w:cs="Arial" w:eastAsia="Arial" w:hAnsi="Arial"/>
          <w:b w:val="false"/>
          <w:bCs w:val="false"/>
          <w:i w:val="false"/>
          <w:iCs w:val="false"/>
          <w:color w:val="1A1A1A"/>
          <w:sz w:val="22"/>
          <w:szCs w:val="22"/>
        </w:rPr>
        <w:t xml:space="preserve">Spain's kidney non-use rate averages approximately 11 percent — less than half the U.S. rate of 27.9 percent. The non-use culture is shaped by a national training program for donation discussion, a standard acceptance framework that defaults toward use and requires documented justification for non-use, and national organ quality tracking published quarterly (ONT, 2025). The U.S. equivalent — in which non-use requires no documented justification and is effectively invisible in public performance reporting — is a structural driver of the non-use rate that organizational change can address without legislation.</w:t>
      </w:r>
    </w:p>
    <w:p>
      <w:pPr>
        <w:pStyle w:val="Heading2"/>
        <w:spacing w:after="160" w:before="280" w:line="280"/>
        <w:jc w:val="left"/>
      </w:pPr>
      <w:r>
        <w:rPr>
          <w:rFonts w:ascii="Arial" w:cs="Arial" w:eastAsia="Arial" w:hAnsi="Arial"/>
          <w:b/>
          <w:bCs/>
          <w:i w:val="false"/>
          <w:iCs w:val="false"/>
          <w:color w:val="1B2A4A"/>
          <w:sz w:val="25"/>
          <w:szCs w:val="25"/>
        </w:rPr>
        <w:t xml:space="preserve">9.2 France: The Regulatory Model</w:t>
      </w:r>
    </w:p>
    <w:p>
      <w:pPr>
        <w:spacing w:after="220" w:before="80" w:line="340"/>
        <w:jc w:val="both"/>
      </w:pPr>
      <w:r>
        <w:rPr>
          <w:rFonts w:ascii="Arial" w:cs="Arial" w:eastAsia="Arial" w:hAnsi="Arial"/>
          <w:b w:val="false"/>
          <w:bCs w:val="false"/>
          <w:i w:val="false"/>
          <w:iCs w:val="false"/>
          <w:color w:val="1A1A1A"/>
          <w:sz w:val="22"/>
          <w:szCs w:val="22"/>
        </w:rPr>
        <w:t xml:space="preserve">France's transplant system, administered by the Agence de la Biomedecine, operates under a regulatory architecture that provides the closest structural parallel to the U.S. reform agenda. Centers must meet annual accreditation standards including minimum volume thresholds, outcome benchmarks, and organ utilization rates; failure to meet standards can result in suspension of transplant authority (Agence de la Biomedecine, 2024). France's deceased-donor kidney non-use rate averages 14 to 16 percent despite a donor pool with a higher proportion of expanded-criteria donors. A 2022 analysis found that France uses machine perfusion in approximately 68 percent of deceased-donor kidney transplants, compared to an estimated 35 to 40 percent in the U.S. — a difference driven by the French regulatory mandate that HMP be used for kidneys from donors aged 60 or older and extended CIT kidneys (Foucher et al., 2022).</w:t>
      </w:r>
    </w:p>
    <w:p>
      <w:pPr>
        <w:spacing w:after="220" w:before="80" w:line="340"/>
        <w:jc w:val="both"/>
      </w:pPr>
      <w:r>
        <w:rPr>
          <w:rFonts w:ascii="Arial" w:cs="Arial" w:eastAsia="Arial" w:hAnsi="Arial"/>
          <w:b w:val="false"/>
          <w:bCs w:val="false"/>
          <w:i w:val="false"/>
          <w:iCs w:val="false"/>
          <w:color w:val="1A1A1A"/>
          <w:sz w:val="22"/>
          <w:szCs w:val="22"/>
        </w:rPr>
        <w:t xml:space="preserve">The U.S. policy implication is specific: mandatory machine perfusion requirements for high-KDPI kidneys, enforced through OPTN policy and CMS Conditions of Participation compliance tracking, would reduce delayed graft function in the highest-risk stratum and improve the acceptance calculus for marginal kidneys currently discarded. This is not a clinical innovation requiring new evidence — the Cochrane-level evidence base for machine perfusion superiority over static cold storage is established. It is a regulatory will problem.</w:t>
      </w:r>
    </w:p>
    <w:p>
      <w:pPr>
        <w:pStyle w:val="Heading2"/>
        <w:spacing w:after="160" w:before="280" w:line="280"/>
        <w:jc w:val="left"/>
      </w:pPr>
      <w:r>
        <w:rPr>
          <w:rFonts w:ascii="Arial" w:cs="Arial" w:eastAsia="Arial" w:hAnsi="Arial"/>
          <w:b/>
          <w:bCs/>
          <w:i w:val="false"/>
          <w:iCs w:val="false"/>
          <w:color w:val="1B2A4A"/>
          <w:sz w:val="25"/>
          <w:szCs w:val="25"/>
        </w:rPr>
        <w:t xml:space="preserve">9.3 Australia: The Data-Transparency Model</w:t>
      </w:r>
    </w:p>
    <w:p>
      <w:pPr>
        <w:spacing w:after="220" w:before="80" w:line="340"/>
        <w:jc w:val="both"/>
      </w:pPr>
      <w:r>
        <w:rPr>
          <w:rFonts w:ascii="Arial" w:cs="Arial" w:eastAsia="Arial" w:hAnsi="Arial"/>
          <w:b w:val="false"/>
          <w:bCs w:val="false"/>
          <w:i w:val="false"/>
          <w:iCs w:val="false"/>
          <w:color w:val="1A1A1A"/>
          <w:sz w:val="22"/>
          <w:szCs w:val="22"/>
        </w:rPr>
        <w:t xml:space="preserve">Australia's ANZDATA registry maintains mandatory collection of outcomes on all kidney transplant recipients and living donors at one, two, five, and ten years post-event, with center-level reporting as a condition of accreditation (ANZDATA, 2025). Living donor follow-up completion at five years exceeds 85 percent. The U.S. equivalent is below 30 percent at two years and effectively zero at five years for most centers. This gap is not merely academic. Adverse outcomes emerging years after donation — accelerated chronic kidney disease progression, cardiovascular events, psychosocial sequelae — are systematically undercounted, understudied, and unaddressed in U.S. clinical practice. The donor safety failures that will become visible in 20 years are being generated today by the absence of a mandatory long-term follow-up system.</w:t>
      </w:r>
    </w:p>
    <w:p>
      <w:pPr>
        <w:pStyle w:val="Heading2"/>
        <w:spacing w:after="160" w:before="280" w:line="280"/>
        <w:jc w:val="left"/>
      </w:pPr>
      <w:r>
        <w:rPr>
          <w:rFonts w:ascii="Arial" w:cs="Arial" w:eastAsia="Arial" w:hAnsi="Arial"/>
          <w:b/>
          <w:bCs/>
          <w:i w:val="false"/>
          <w:iCs w:val="false"/>
          <w:color w:val="1B2A4A"/>
          <w:sz w:val="25"/>
          <w:szCs w:val="25"/>
        </w:rPr>
        <w:t xml:space="preserve">9.4 What the U.S. Can and Cannot Import</w:t>
      </w:r>
    </w:p>
    <w:p>
      <w:pPr>
        <w:spacing w:after="220" w:before="80" w:line="340"/>
        <w:jc w:val="both"/>
      </w:pPr>
      <w:r>
        <w:rPr>
          <w:rFonts w:ascii="Arial" w:cs="Arial" w:eastAsia="Arial" w:hAnsi="Arial"/>
          <w:b w:val="false"/>
          <w:bCs w:val="false"/>
          <w:i w:val="false"/>
          <w:iCs w:val="false"/>
          <w:color w:val="1A1A1A"/>
          <w:sz w:val="22"/>
          <w:szCs w:val="22"/>
        </w:rPr>
        <w:t xml:space="preserve">Three actionable structural differences between the U.S. system and its better-performing peers are: the absence of hospital-embedded transplant coordinators at scale; the absence of a mandatory machine perfusion requirement for high-risk kidneys; and the absence of a long-term living donor outcomes registry with mandatory compliance. All three are actionable within current U.S. federal regulatory authority. None requires a change in the legal default for consent. The presumed consent debate, while relevant in principle, is constitutionally and politically inapplicable in the short term and is not the operative driver of Spain's superior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1560"/>
        <w:gridCol w:w="2160"/>
      </w:tblGrid>
      <w:tr>
        <w:trPr>
          <w:tblHeader/>
        </w:trPr>
        <w:tc>
          <w:tcPr>
            <w:tcW w:type="dxa" w:w="25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Metric</w:t>
            </w:r>
          </w:p>
        </w:tc>
        <w:tc>
          <w:tcPr>
            <w:tcW w:type="dxa" w:w="156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USA</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Spain</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France</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Australia</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Deceased donor rate (pmp)</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~43</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49.6</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~26</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~23</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Kidney non-use rate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~25–28%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~14–16%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~18%</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Machine perfusion utilization</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~35–40%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~55%</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~68%</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~50%</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LD follow-up (5-yr completion)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&lt;30%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~60%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&gt;85%</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Coordinator model</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OPO-based</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ICU-embedded</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Hospital-based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State-based</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Mandatory HMP policy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Yes (≥60 yrs)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Partial</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Center accreditation enforcement</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8"/>
                <w:szCs w:val="18"/>
              </w:rPr>
              <w:t xml:space="preserve">Limited</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Moderate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Strong</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8"/>
                <w:szCs w:val="18"/>
              </w:rPr>
              <w:t xml:space="preserve">Strong</w:t>
            </w:r>
          </w:p>
        </w:tc>
      </w:tr>
    </w:tbl>
    <w:p>
      <w:pPr>
        <w:spacing w:after="200" w:before="80" w:line="280"/>
        <w:jc w:val="center"/>
      </w:pPr>
      <w:r>
        <w:rPr>
          <w:rFonts w:ascii="Arial" w:cs="Arial" w:eastAsia="Arial" w:hAnsi="Arial"/>
          <w:b w:val="false"/>
          <w:bCs w:val="false"/>
          <w:i/>
          <w:iCs/>
          <w:color w:val="4A5568"/>
          <w:sz w:val="18"/>
          <w:szCs w:val="18"/>
        </w:rPr>
        <w:t xml:space="preserve">Figure 7. Cross-National Benchmarking — U.S. Transplant System vs. International Peers. pmp = per million population; LD = living donor; HMP = hypothermic machine perfusion. Sources: UNOS (2026); ONT (2025); Agence de la Biomedecine (2024); ANZDATA (2025); Foucher et al. (2022).</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10. Policy Enforcement Architecture</w:t>
      </w:r>
    </w:p>
    <w:p>
      <w:pPr>
        <w:spacing w:after="220" w:before="80" w:line="340"/>
        <w:jc w:val="both"/>
      </w:pPr>
      <w:r>
        <w:rPr>
          <w:rFonts w:ascii="Arial" w:cs="Arial" w:eastAsia="Arial" w:hAnsi="Arial"/>
          <w:b w:val="false"/>
          <w:bCs w:val="false"/>
          <w:i w:val="false"/>
          <w:iCs w:val="false"/>
          <w:color w:val="1A1A1A"/>
          <w:sz w:val="22"/>
          <w:szCs w:val="22"/>
        </w:rPr>
        <w:t xml:space="preserve">The central failure mode of transplant reform is not the absence of good policy proposals — the literature is saturated with evidence-based recommendations. The failure is the absence of enforcement architecture that translates policy adoption into sustained implementation. This section documents that architecture in operational detail, grounded in the current federal regulatory framework and the legislative record of the 119th Congress.</w:t>
      </w:r>
    </w:p>
    <w:p>
      <w:pPr>
        <w:pStyle w:val="Heading2"/>
        <w:spacing w:after="160" w:before="280" w:line="280"/>
        <w:jc w:val="left"/>
      </w:pPr>
      <w:r>
        <w:rPr>
          <w:rFonts w:ascii="Arial" w:cs="Arial" w:eastAsia="Arial" w:hAnsi="Arial"/>
          <w:b/>
          <w:bCs/>
          <w:i w:val="false"/>
          <w:iCs w:val="false"/>
          <w:color w:val="1B2A4A"/>
          <w:sz w:val="25"/>
          <w:szCs w:val="25"/>
        </w:rPr>
        <w:t xml:space="preserve">10.1 The Enforcement Gap: Why Good Policy Fails</w:t>
      </w:r>
    </w:p>
    <w:p>
      <w:pPr>
        <w:spacing w:after="220" w:before="80" w:line="340"/>
        <w:jc w:val="both"/>
      </w:pPr>
      <w:r>
        <w:rPr>
          <w:rFonts w:ascii="Arial" w:cs="Arial" w:eastAsia="Arial" w:hAnsi="Arial"/>
          <w:b w:val="false"/>
          <w:bCs w:val="false"/>
          <w:i w:val="false"/>
          <w:iCs w:val="false"/>
          <w:color w:val="1A1A1A"/>
          <w:sz w:val="22"/>
          <w:szCs w:val="22"/>
        </w:rPr>
        <w:t xml:space="preserve">The Living Donor Protection Act was first introduced in Congress in 2016. As of June 2026, it has not been enacted despite broad bipartisan cosponsorship, endorsement by every major transplant professional society, and documented evidence that the absence of FMLA protection and insurance non-discrimination deters a substantial fraction of potential living donors. This is not an isolated failure. The NLDAC reimbursement cap has not been meaningfully raised since the program's inception. Machine perfusion recommendations have been in the transplant literature since the 1990s but are not mandated for high-risk kidneys. Out-of-sequence allocation expanded to more than 20 percent of kidney placements before triggering a HRSA compliance directive. These patterns share a common structure: widespread professional consensus, documented evidence of harm, documented availability of solutions, and sustained policy inaction.</w:t>
      </w:r>
    </w:p>
    <w:p>
      <w:pPr>
        <w:spacing w:after="220" w:before="80" w:line="340"/>
        <w:jc w:val="both"/>
      </w:pPr>
      <w:r>
        <w:rPr>
          <w:rFonts w:ascii="Arial" w:cs="Arial" w:eastAsia="Arial" w:hAnsi="Arial"/>
          <w:b w:val="false"/>
          <w:bCs w:val="false"/>
          <w:i w:val="false"/>
          <w:iCs w:val="false"/>
          <w:color w:val="1A1A1A"/>
          <w:sz w:val="22"/>
          <w:szCs w:val="22"/>
        </w:rPr>
        <w:t xml:space="preserve">Three structural sources account for the enforcement gap. First, the transplant system lacks a mandatory rulemaking cycle. OPTN policy changes require Board approval but not Congressional action or notice-and-comment rulemaking, which means they lack the legal durability of federal regulations and can be reversed by subsequent boards. The 40-year history of OPTN as simultaneously the policy body and the contractor organization created a governance structure in which the regulated entity was largely self-regulating — a condition that the structural separation of 2025 has begun to address but not fully resolved.</w:t>
      </w:r>
    </w:p>
    <w:p>
      <w:pPr>
        <w:spacing w:after="220" w:before="80" w:line="340"/>
        <w:jc w:val="both"/>
      </w:pPr>
      <w:r>
        <w:rPr>
          <w:rFonts w:ascii="Arial" w:cs="Arial" w:eastAsia="Arial" w:hAnsi="Arial"/>
          <w:b w:val="false"/>
          <w:bCs w:val="false"/>
          <w:i w:val="false"/>
          <w:iCs w:val="false"/>
          <w:color w:val="1A1A1A"/>
          <w:sz w:val="22"/>
          <w:szCs w:val="22"/>
        </w:rPr>
        <w:t xml:space="preserve">Second, the CMS quality metrics that drive transplant center behavior have historically been designed around the center-level perspective — measuring outcomes for transplanted patients and not the population-level cost of non-use. The IOTA Model is the first federal payment mechanism to partially correct this by adding transplant volume as a performance domain, but it covers only 40 percent of hospitals and expires in 2031. The structural misalignment continues for the 60 percent of hospitals outside IOTA, and will resume system-wide in 2031 if IOTA is not made permanent.</w:t>
      </w:r>
    </w:p>
    <w:p>
      <w:pPr>
        <w:spacing w:after="220" w:before="80" w:line="340"/>
        <w:jc w:val="both"/>
      </w:pPr>
      <w:r>
        <w:rPr>
          <w:rFonts w:ascii="Arial" w:cs="Arial" w:eastAsia="Arial" w:hAnsi="Arial"/>
          <w:b w:val="false"/>
          <w:bCs w:val="false"/>
          <w:i w:val="false"/>
          <w:iCs w:val="false"/>
          <w:color w:val="1A1A1A"/>
          <w:sz w:val="22"/>
          <w:szCs w:val="22"/>
        </w:rPr>
        <w:t xml:space="preserve">Third, the advocacy space for transplant reform is substantially captured by dialysis industry funding. Fresenius Medical Care and DaVita together control approximately 70 percent of the U.S. dialysis market and have extensive funding relationships with patient advocacy organizations whose stated missions include transplant access. The structural conflict of interest between these funding relationships and genuine advocacy for policies that would reduce dialysis utilization has been documented in the transplant policy literature and is a primary reason the CIF operates under a founding constraint of zero pharmaceutical, dialysis, or insurance industry funding.</w:t>
      </w:r>
    </w:p>
    <w:p>
      <w:pPr>
        <w:pStyle w:val="Heading2"/>
        <w:spacing w:after="160" w:before="280" w:line="280"/>
        <w:jc w:val="left"/>
      </w:pPr>
      <w:r>
        <w:rPr>
          <w:rFonts w:ascii="Arial" w:cs="Arial" w:eastAsia="Arial" w:hAnsi="Arial"/>
          <w:b/>
          <w:bCs/>
          <w:i w:val="false"/>
          <w:iCs w:val="false"/>
          <w:color w:val="1B2A4A"/>
          <w:sz w:val="25"/>
          <w:szCs w:val="25"/>
        </w:rPr>
        <w:t xml:space="preserve">10.2 Regulatory Levers: HRSA, CMS, and OPTN Authority</w:t>
      </w:r>
    </w:p>
    <w:p>
      <w:pPr>
        <w:spacing w:after="220" w:before="80" w:line="340"/>
        <w:jc w:val="both"/>
      </w:pPr>
      <w:r>
        <w:rPr>
          <w:rFonts w:ascii="Arial" w:cs="Arial" w:eastAsia="Arial" w:hAnsi="Arial"/>
          <w:b w:val="false"/>
          <w:bCs w:val="false"/>
          <w:i w:val="false"/>
          <w:iCs w:val="false"/>
          <w:color w:val="1A1A1A"/>
          <w:sz w:val="22"/>
          <w:szCs w:val="22"/>
        </w:rPr>
        <w:t xml:space="preserve">Federal authority over the transplant system flows through three agencies with distinct and complementary scopes. HRSA, under the Securing the U.S. OPTN Act of 2023 (Pub. L. 118-14), has substantially expanded authority over OPTN governance. HRSA can: require SPC-compliant reporting as a condition of the OPTN contract; mandate specific data collection elements including long-term living donor outcomes; establish OPO performance standards beyond existing accountability rule tiers; and direct the OPTN Board to develop policy in specific areas. HRSA's February 2025 OOS directive and July 2025 follow-up directive demonstrate that HRSA is prepared to exercise this authority actively, not merely theoretically.</w:t>
      </w:r>
    </w:p>
    <w:p>
      <w:pPr>
        <w:spacing w:after="220" w:before="80" w:line="340"/>
        <w:jc w:val="both"/>
      </w:pPr>
      <w:r>
        <w:rPr>
          <w:rFonts w:ascii="Arial" w:cs="Arial" w:eastAsia="Arial" w:hAnsi="Arial"/>
          <w:b w:val="false"/>
          <w:bCs w:val="false"/>
          <w:i w:val="false"/>
          <w:iCs w:val="false"/>
          <w:color w:val="1A1A1A"/>
          <w:sz w:val="22"/>
          <w:szCs w:val="22"/>
        </w:rPr>
        <w:t xml:space="preserve">CMS authority operates through Conditions of Participation and, now, through the IOTA Model. CMS can: add organ utilization rate as a weighted metric in transplant center performance evaluation; require machine perfusion for high-KDPI kidneys as a condition of reimbursement; mandate living donor evaluation data reporting as a Condition of Participation; and expand IOTA's architecture to all eligible hospitals through notice-and-comment rulemaking. CMS rulemaking has legal durability that OPTN policy changes do not — a critical consideration for reform architects who need to ensure that gains survive changes in administration and board composition.</w:t>
      </w:r>
    </w:p>
    <w:p>
      <w:pPr>
        <w:spacing w:after="220" w:before="80" w:line="340"/>
        <w:jc w:val="both"/>
      </w:pPr>
      <w:r>
        <w:rPr>
          <w:rFonts w:ascii="Arial" w:cs="Arial" w:eastAsia="Arial" w:hAnsi="Arial"/>
          <w:b w:val="false"/>
          <w:bCs w:val="false"/>
          <w:i w:val="false"/>
          <w:iCs w:val="false"/>
          <w:color w:val="1A1A1A"/>
          <w:sz w:val="22"/>
          <w:szCs w:val="22"/>
        </w:rPr>
        <w:t xml:space="preserve">OPTN authority governs allocation rules, listing criteria, match algorithms, and transplant program standards. The independence of the OPTN Board from the contractor, established in 2025, reduces the historical conflict of interest that slowed reform. The proposed standing OPTN Quality Improvement Committee with authority to implement time-limited policy pilots without full Board approval — reporting outcomes quarterly, with automatic transition to permanent policy if pilot outcomes meet pre-specified benchmarks — would reduce the 18 to 36-month policy development cycle that converts consensus into stasis.</w:t>
      </w:r>
    </w:p>
    <w:p>
      <w:pPr>
        <w:pStyle w:val="Heading2"/>
        <w:spacing w:after="160" w:before="280" w:line="280"/>
        <w:jc w:val="left"/>
      </w:pPr>
      <w:r>
        <w:rPr>
          <w:rFonts w:ascii="Arial" w:cs="Arial" w:eastAsia="Arial" w:hAnsi="Arial"/>
          <w:b/>
          <w:bCs/>
          <w:i w:val="false"/>
          <w:iCs w:val="false"/>
          <w:color w:val="1B2A4A"/>
          <w:sz w:val="25"/>
          <w:szCs w:val="25"/>
        </w:rPr>
        <w:t xml:space="preserve">10.3 Legislative Vehicles in the 119th Congress</w:t>
      </w:r>
    </w:p>
    <w:p>
      <w:pPr>
        <w:spacing w:after="220" w:before="80" w:line="340"/>
        <w:jc w:val="both"/>
      </w:pPr>
      <w:r>
        <w:rPr>
          <w:rFonts w:ascii="Arial" w:cs="Arial" w:eastAsia="Arial" w:hAnsi="Arial"/>
          <w:b w:val="false"/>
          <w:bCs w:val="false"/>
          <w:i w:val="false"/>
          <w:iCs w:val="false"/>
          <w:color w:val="1A1A1A"/>
          <w:sz w:val="22"/>
          <w:szCs w:val="22"/>
        </w:rPr>
        <w:t xml:space="preserve">Fourteen legislative vehicles in the 119th Congress are relevant to transplant system reform. The table below documents their current status, primary sponsor, and primary mechanism as of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800"/>
        <w:gridCol w:w="3480"/>
      </w:tblGrid>
      <w:tr>
        <w:trPr>
          <w:tblHeader/>
        </w:trPr>
        <w:tc>
          <w:tcPr>
            <w:tcW w:type="dxa" w:w="25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Bill / Provision</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Sponsor(s)</w:t>
            </w:r>
          </w:p>
        </w:tc>
        <w:tc>
          <w:tcPr>
            <w:tcW w:type="dxa" w:w="34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Primary Mechanism</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Living Donor Protection Act</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B2A4A"/>
                <w:sz w:val="17"/>
                <w:szCs w:val="17"/>
              </w:rPr>
              <w:t xml:space="preserve">Introduced; committee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Bipartisan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FMLA + life/disability/LTC insurance non-discrimination nationwide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HOLD Act (Help Our Living Donors)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B2A4A"/>
                <w:sz w:val="17"/>
                <w:szCs w:val="17"/>
              </w:rPr>
              <w:t xml:space="preserve">Introduced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Multiple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Shifts NLDAC eligibility to donor income, not recipient income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Living Organ Donor Tax Credit Act (H.R. 3698)</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B2A4A"/>
                <w:sz w:val="17"/>
                <w:szCs w:val="17"/>
              </w:rPr>
              <w:t xml:space="preserve">Introduced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Wilson &amp; Nadler</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$5,000 refundable federal tax credit per living organ donor</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Securing U.S. OPTN Act of 2023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2D6A2D"/>
                <w:sz w:val="17"/>
                <w:szCs w:val="17"/>
              </w:rPr>
              <w:t xml:space="preserve">Enacted — Pub. L. 118-14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Bipartisan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OPTN governance independence; expanded HRSA oversight authority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TRANSPLANT Act reauthorization</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B2A4A"/>
                <w:sz w:val="17"/>
                <w:szCs w:val="17"/>
              </w:rPr>
              <w:t xml:space="preserve">Under negotiation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Senate HELP</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OPTN contract authority; HRSA oversight; NOTA modernization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OPO Accountability Act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B2A4A"/>
                <w:sz w:val="17"/>
                <w:szCs w:val="17"/>
              </w:rPr>
              <w:t xml:space="preserve">Referred to committee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Grassley (R-IA)</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OPO performance tiers; decertification authority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IOTA Model (finalized, active)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2D6A2D"/>
                <w:sz w:val="17"/>
                <w:szCs w:val="17"/>
              </w:rPr>
              <w:t xml:space="preserve">Active — July 2025–2031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CMS regulation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Mandatory APM for kidney transplant hospitals; volume + utilization incentives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NLDAC Expansion Act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7"/>
                <w:szCs w:val="17"/>
              </w:rPr>
              <w:t xml:space="preserve">Not yet introduced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CIF advocacy target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Raise NLDAC cap; eliminate income-based eligibility; match Donor Shield standard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Organ Donation Awareness Act</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B2A4A"/>
                <w:sz w:val="17"/>
                <w:szCs w:val="17"/>
              </w:rPr>
              <w:t xml:space="preserve">Introduced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Multiple sponsors</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Public education; DMV and EHR integration for donor registration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Paired Kidney Exchange Expansion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B2A4A"/>
                <w:sz w:val="17"/>
                <w:szCs w:val="17"/>
              </w:rPr>
              <w:t xml:space="preserve">Introduced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Smith (R-NJ)</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Expand chain exchanges; reimburse NKR coordination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Telehealth Modernization Act</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2D6A2D"/>
                <w:sz w:val="17"/>
                <w:szCs w:val="17"/>
              </w:rPr>
              <w:t xml:space="preserve">Active provisions enacted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Broad bipartisan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Telehealth permanence for chronic illness evaluation including transplant</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Care Partner Recognition Act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7"/>
                <w:szCs w:val="17"/>
              </w:rPr>
              <w:t xml:space="preserve">Not yet introduced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CIF advocacy target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Federal care partner compensation pilot; labor invoice documentation standard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Machine Perfusion Mandate Bill</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7"/>
                <w:szCs w:val="17"/>
              </w:rPr>
              <w:t xml:space="preserve">Not yet introduced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CIF advocacy target</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Mandatory HMP for all KDPI &gt;50% kidneys as CMS Condition of Participation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Living Donor Outcome Registry Act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8B2A1A"/>
                <w:sz w:val="17"/>
                <w:szCs w:val="17"/>
              </w:rPr>
              <w:t xml:space="preserve">Not yet introduced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CIF advocacy target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val="false"/>
                <w:bCs w:val="false"/>
                <w:i w:val="false"/>
                <w:iCs w:val="false"/>
                <w:color w:val="1A1A1A"/>
                <w:sz w:val="17"/>
                <w:szCs w:val="17"/>
              </w:rPr>
              <w:t xml:space="preserve">10-year mandatory living donor follow-up with HRSA data infrastructure authority</w:t>
            </w:r>
          </w:p>
        </w:tc>
      </w:tr>
    </w:tbl>
    <w:p>
      <w:pPr>
        <w:spacing w:after="200" w:before="80" w:line="280"/>
        <w:jc w:val="center"/>
      </w:pPr>
      <w:r>
        <w:rPr>
          <w:rFonts w:ascii="Arial" w:cs="Arial" w:eastAsia="Arial" w:hAnsi="Arial"/>
          <w:b w:val="false"/>
          <w:bCs w:val="false"/>
          <w:i/>
          <w:iCs/>
          <w:color w:val="4A5568"/>
          <w:sz w:val="18"/>
          <w:szCs w:val="18"/>
        </w:rPr>
        <w:t xml:space="preserve">Table 2. Legislative Vehicles in the 119th Congress Relevant to Transplant System Reform. Status as of June 2026. Bills marked 'Not yet introduced' represent active CIF advocacy priorities. HOLD = Help Our Living Donors; NLDAC = National Living Donor Assistance Center; HMP = hypothermic machine perfusion; LTC = long-term care; APM = alternative payment model; NKR = National Kidney Registry.</w:t>
      </w:r>
    </w:p>
    <w:p>
      <w:pPr>
        <w:pStyle w:val="Heading2"/>
        <w:spacing w:after="160" w:before="280" w:line="280"/>
        <w:jc w:val="left"/>
      </w:pPr>
      <w:r>
        <w:rPr>
          <w:rFonts w:ascii="Arial" w:cs="Arial" w:eastAsia="Arial" w:hAnsi="Arial"/>
          <w:b/>
          <w:bCs/>
          <w:i w:val="false"/>
          <w:iCs w:val="false"/>
          <w:color w:val="1B2A4A"/>
          <w:sz w:val="25"/>
          <w:szCs w:val="25"/>
        </w:rPr>
        <w:t xml:space="preserve">10.4 Novel LSS Visual I: Policy Deployment X-Matrix (Hoshin Kanri)</w:t>
      </w:r>
    </w:p>
    <w:p>
      <w:pPr>
        <w:spacing w:after="220" w:before="80" w:line="340"/>
        <w:jc w:val="both"/>
      </w:pPr>
      <w:r>
        <w:rPr>
          <w:rFonts w:ascii="Arial" w:cs="Arial" w:eastAsia="Arial" w:hAnsi="Arial"/>
          <w:b w:val="false"/>
          <w:bCs w:val="false"/>
          <w:i w:val="false"/>
          <w:iCs w:val="false"/>
          <w:color w:val="1A1A1A"/>
          <w:sz w:val="22"/>
          <w:szCs w:val="22"/>
        </w:rPr>
        <w:t xml:space="preserve">The Policy Deployment X-Matrix, also called the Hoshin Kanri X-Matrix, is a strategic alignment tool used in advanced Lean Six Sigma deployments to map the relationships among long-term objectives, annual priorities, specific improvement initiatives, measurable targets, and accountable owners on a single analytical page. It is standard in manufacturing and aerospace quality systems. Its application here to federal transplant policy alignment represents a methodological contribution: to this author's knowledge, the X-Matrix has not previously been applied in the transplant policy literature. The tool's value is not the individual data points it contains but the relationship mapping — it makes visible which initiatives advance which objectives, which annual priorities are under-supported, and where reform energy is concentrated relative to strategic need.</w:t>
      </w:r>
    </w:p>
    <w:p>
      <w:pPr>
        <w:spacing w:after="220" w:before="80" w:line="340"/>
        <w:jc w:val="both"/>
      </w:pPr>
      <w:r>
        <w:rPr>
          <w:rFonts w:ascii="Arial" w:cs="Arial" w:eastAsia="Arial" w:hAnsi="Arial"/>
          <w:b w:val="false"/>
          <w:bCs w:val="false"/>
          <w:i w:val="false"/>
          <w:iCs w:val="false"/>
          <w:color w:val="1A1A1A"/>
          <w:sz w:val="22"/>
          <w:szCs w:val="22"/>
        </w:rPr>
        <w:t xml:space="preserve">The matrix below maps CIF's three strategic objectives (reduce waitlist mortality 25% by Q4 2028; increase living donors to 10,000 per year by 2030; reduce kidney non-use rate below 15% by 2028) against eleven improvement initiatives and ten annual policy priorities. Filled circles indicate strong relationships; open circles indicate supporting relationships. Reading across any row reveals which annual priorities support a given initiative; reading down any column reveals which objectives a given initiative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
        <w:gridCol w:w="360"/>
        <w:gridCol w:w="360"/>
        <w:gridCol w:w="360"/>
        <w:gridCol w:w="360"/>
        <w:gridCol w:w="360"/>
        <w:gridCol w:w="360"/>
        <w:gridCol w:w="360"/>
        <w:gridCol w:w="360"/>
        <w:gridCol w:w="1680"/>
        <w:gridCol w:w="1680"/>
        <w:gridCol w:w="1680"/>
      </w:tblGrid>
      <w:tr>
        <w:trPr>
          <w:tblHeader/>
        </w:trPr>
        <w:tc>
          <w:tcPr>
            <w:tcW w:type="dxa" w:w="3600"/>
            <w:gridSpan w:val="1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4"/>
                <w:szCs w:val="14"/>
              </w:rPr>
              <w:t xml:space="preserve">Initiatives →
Priorities ↓</w:t>
            </w:r>
          </w:p>
        </w:tc>
        <w:tc>
          <w:tcPr>
            <w:tcW w:type="dxa" w:w="168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4"/>
                <w:szCs w:val="14"/>
              </w:rPr>
              <w:t xml:space="preserve">▼ Waitlist
Mortality
25%</w:t>
            </w:r>
          </w:p>
        </w:tc>
        <w:tc>
          <w:tcPr>
            <w:tcW w:type="dxa" w:w="16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4"/>
                <w:szCs w:val="14"/>
              </w:rPr>
              <w:t xml:space="preserve">▲ Living
Donors to
10K/yr</w:t>
            </w:r>
          </w:p>
        </w:tc>
        <w:tc>
          <w:tcPr>
            <w:tcW w:type="dxa" w:w="16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4"/>
                <w:szCs w:val="14"/>
              </w:rPr>
              <w:t xml:space="preserve">▼ Non-Use
Rate to
&lt;15%</w:t>
            </w:r>
          </w:p>
        </w:tc>
      </w:tr>
      <w:tr>
        <w:trPr>
          <w:tblHeader w:val="false"/>
        </w:trPr>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8B2A1A"/>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4A5568"/>
                <w:sz w:val="18"/>
                <w:szCs w:val="18"/>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1B2A4A"/>
                <w:sz w:val="18"/>
                <w:szCs w:val="18"/>
              </w:rPr>
              <w:t xml:space="preserve">●</w:t>
            </w:r>
          </w:p>
        </w:tc>
      </w:tr>
      <w:tr>
        <w:trPr>
          <w:tblHeader w:val="false"/>
        </w:trPr>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Leg.
FY26</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NLDAC
Ref.</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Donor
Prot.</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Wkup
Prot.</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Alloc.
Ref.</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Mach.
Perf.</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CMS
Metric</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Registry
Build</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Care
Ptnr</w:t>
            </w:r>
          </w:p>
        </w:tc>
        <w:tc>
          <w:tcPr>
            <w:tcW w:type="dxa" w:w="360"/>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3"/>
                <w:szCs w:val="13"/>
              </w:rPr>
              <w:t xml:space="preserve">SPC
Gov.</w:t>
            </w:r>
          </w:p>
        </w:tc>
        <w:tc>
          <w:tcPr>
            <w:tcW w:type="dxa" w:w="5040"/>
            <w:gridSpan w:val="3"/>
            <w:tcBorders>
              <w:top w:val="single" w:color="CCCCCC" w:sz="1"/>
              <w:left w:val="single" w:color="CCCCCC" w:sz="1"/>
              <w:bottom w:val="single" w:color="CCCCCC" w:sz="1"/>
              <w:right w:val="single" w:color="CCCCCC" w:sz="1"/>
            </w:tcBorders>
            <w:shd w:fill="B8952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4"/>
                <w:szCs w:val="14"/>
              </w:rPr>
              <w:t xml:space="preserve">Annual Policy Priorities →</w:t>
            </w:r>
          </w:p>
        </w:tc>
      </w:tr>
    </w:tbl>
    <w:p>
      <w:pPr>
        <w:spacing w:after="200" w:before="80" w:line="280"/>
        <w:jc w:val="center"/>
      </w:pPr>
      <w:r>
        <w:rPr>
          <w:rFonts w:ascii="Arial" w:cs="Arial" w:eastAsia="Arial" w:hAnsi="Arial"/>
          <w:b w:val="false"/>
          <w:bCs w:val="false"/>
          <w:i/>
          <w:iCs/>
          <w:color w:val="4A5568"/>
          <w:sz w:val="18"/>
          <w:szCs w:val="18"/>
        </w:rPr>
        <w:t xml:space="preserve">Figure 8. Policy Deployment X-Matrix (Hoshin Kanri) — CIF Strategic Alignment Framework. Filled circles (●) = strong relationship; open circles (○) = supporting relationship. The matrix reads across rows (which annual priorities drive each initiative) and down columns (which objectives each initiative advances). First known application of this tool in U.S. transplant policy literature. LD = living donor; HMP = hypothermic machine perfusion; SPC = statistical process control; Wkup = workup.</w:t>
      </w:r>
    </w:p>
    <w:p>
      <w:pPr>
        <w:pStyle w:val="Heading2"/>
        <w:spacing w:after="160" w:before="280" w:line="280"/>
        <w:jc w:val="left"/>
      </w:pPr>
      <w:r>
        <w:rPr>
          <w:rFonts w:ascii="Arial" w:cs="Arial" w:eastAsia="Arial" w:hAnsi="Arial"/>
          <w:b/>
          <w:bCs/>
          <w:i w:val="false"/>
          <w:iCs w:val="false"/>
          <w:color w:val="1B2A4A"/>
          <w:sz w:val="25"/>
          <w:szCs w:val="25"/>
        </w:rPr>
        <w:t xml:space="preserve">10.5 Accountability Mechanisms That Sustain Reform</w:t>
      </w:r>
    </w:p>
    <w:p>
      <w:pPr>
        <w:spacing w:after="220" w:before="80" w:line="340"/>
        <w:jc w:val="both"/>
      </w:pPr>
      <w:r>
        <w:rPr>
          <w:rFonts w:ascii="Arial" w:cs="Arial" w:eastAsia="Arial" w:hAnsi="Arial"/>
          <w:b w:val="false"/>
          <w:bCs w:val="false"/>
          <w:i w:val="false"/>
          <w:iCs w:val="false"/>
          <w:color w:val="1A1A1A"/>
          <w:sz w:val="22"/>
          <w:szCs w:val="22"/>
        </w:rPr>
        <w:t xml:space="preserve">Five accountability mechanisms protect the countermeasure portfolio against institutional regression over the 2026 to 2030 horizon. First, codification in federal regulation rather than OPTN policy wherever possible. CMS Conditions of Participation require notice-and-comment rulemaking to reverse — a 18 to 36-month process subject to judicial review. This durability makes regulatory anchoring the single most important structural choice in reform design. Second, public performance dashboards with mandatory quarterly updates including center-level organ utilization rates, living donor completion rates, and waitlist mortality. Transparency makes regression politically visible and publicly documented.</w:t>
      </w:r>
    </w:p>
    <w:p>
      <w:pPr>
        <w:spacing w:after="220" w:before="80" w:line="340"/>
        <w:jc w:val="both"/>
      </w:pPr>
      <w:r>
        <w:rPr>
          <w:rFonts w:ascii="Arial" w:cs="Arial" w:eastAsia="Arial" w:hAnsi="Arial"/>
          <w:b w:val="false"/>
          <w:bCs w:val="false"/>
          <w:i w:val="false"/>
          <w:iCs w:val="false"/>
          <w:color w:val="1A1A1A"/>
          <w:sz w:val="22"/>
          <w:szCs w:val="22"/>
        </w:rPr>
        <w:t xml:space="preserve">Third, an independent annual audit of OPTN performance against the Section 6.1 metrics, conducted by a body structurally separate from both the OPTN contractor and HRSA — modeled on the VA Office of Inspector General function. Fourth, mandatory Congressional reporting under the Securing the U.S. OPTN Act of 2023, expanded to include specific metrics tied to the countermeasure portfolio. Fifth, patient, donor, and care partner representation on the OPTN Board — a structural change that creates inherent accountability to the population the system serves, providing a governance safeguard against the institutional co-optation that characterized the pre-2025 board structure for four decades.</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11. Care Partner Labor Economics and Federal Recognition</w:t>
      </w:r>
    </w:p>
    <w:p>
      <w:pPr>
        <w:pStyle w:val="Heading2"/>
        <w:spacing w:after="160" w:before="280" w:line="280"/>
        <w:jc w:val="left"/>
      </w:pPr>
      <w:r>
        <w:rPr>
          <w:rFonts w:ascii="Arial" w:cs="Arial" w:eastAsia="Arial" w:hAnsi="Arial"/>
          <w:b/>
          <w:bCs/>
          <w:i w:val="false"/>
          <w:iCs w:val="false"/>
          <w:color w:val="1B2A4A"/>
          <w:sz w:val="25"/>
          <w:szCs w:val="25"/>
        </w:rPr>
        <w:t xml:space="preserve">11.1 Quantifying the Invisible System Input</w:t>
      </w:r>
    </w:p>
    <w:p>
      <w:pPr>
        <w:spacing w:after="220" w:before="80" w:line="340"/>
        <w:jc w:val="both"/>
      </w:pPr>
      <w:r>
        <w:rPr>
          <w:rFonts w:ascii="Arial" w:cs="Arial" w:eastAsia="Arial" w:hAnsi="Arial"/>
          <w:b w:val="false"/>
          <w:bCs w:val="false"/>
          <w:i w:val="false"/>
          <w:iCs w:val="false"/>
          <w:color w:val="1A1A1A"/>
          <w:sz w:val="22"/>
          <w:szCs w:val="22"/>
        </w:rPr>
        <w:t xml:space="preserve">Throughout the transplant continuum — evaluation, listing, surgery, post-transplant recovery, immunosuppression management, and long-term follow-up — unpaid care partner labor is functionally required for the system to operate. This is not a peripheral contribution. Transplant Conditions of Participation require that recipients have adequate social support, effectively mandating care partner participation as a condition of access to transplantation itself. Yet none of this labor is recognized in OPTN data, CMS reimbursement structures, SRTR metrics, or any federal program. The care partner is, in systems terms, an undocumented input whose removal would cause system failure but whose presence is not counted, compensated, or protected.</w:t>
      </w:r>
    </w:p>
    <w:p>
      <w:pPr>
        <w:spacing w:after="220" w:before="80" w:line="340"/>
        <w:jc w:val="both"/>
      </w:pPr>
      <w:r>
        <w:rPr>
          <w:rFonts w:ascii="Arial" w:cs="Arial" w:eastAsia="Arial" w:hAnsi="Arial"/>
          <w:b w:val="false"/>
          <w:bCs w:val="false"/>
          <w:i w:val="false"/>
          <w:iCs w:val="false"/>
          <w:color w:val="1A1A1A"/>
          <w:sz w:val="22"/>
          <w:szCs w:val="22"/>
        </w:rPr>
        <w:t xml:space="preserve">Reinhard et al. (2023) estimated total annual unpaid caregiving in the United States at approximately $470 billion across all chronic conditions. Transplant-specific estimates based on care intensity and duration suggest an average of 3,000 to 4,500 hours of care partner labor per transplant episode across the first two years post-transplant, continuing at reduced intensity into the chronic phase (Prestalia et al., 2024; Geerts et al., 2022). At the Bureau of Labor Statistics 2023 median wage for home health aide services of $16.59 per hour, 3,000 hours of transplant-related care partner labor represents a replacement-equivalent economic contribution of approximately $49,770 per transplant episode. Across the 27,573 kidney transplants performed in 2025, this implies an aggregate annual care partner contribution to the kidney transplant system of approximately $1.37 billion in uncompensated labor — in a single year, for a single organ type.</w:t>
      </w:r>
    </w:p>
    <w:p>
      <w:pPr>
        <w:pStyle w:val="Heading2"/>
        <w:spacing w:after="160" w:before="280" w:line="280"/>
        <w:jc w:val="left"/>
      </w:pPr>
      <w:r>
        <w:rPr>
          <w:rFonts w:ascii="Arial" w:cs="Arial" w:eastAsia="Arial" w:hAnsi="Arial"/>
          <w:b/>
          <w:bCs/>
          <w:i w:val="false"/>
          <w:iCs w:val="false"/>
          <w:color w:val="1B2A4A"/>
          <w:sz w:val="25"/>
          <w:szCs w:val="25"/>
        </w:rPr>
        <w:t xml:space="preserve">11.2 The Care Partner Labor Invoice</w:t>
      </w:r>
    </w:p>
    <w:p>
      <w:pPr>
        <w:spacing w:after="220" w:before="80" w:line="340"/>
        <w:jc w:val="both"/>
      </w:pPr>
      <w:r>
        <w:rPr>
          <w:rFonts w:ascii="Arial" w:cs="Arial" w:eastAsia="Arial" w:hAnsi="Arial"/>
          <w:b w:val="false"/>
          <w:bCs w:val="false"/>
          <w:i w:val="false"/>
          <w:iCs w:val="false"/>
          <w:color w:val="1A1A1A"/>
          <w:sz w:val="22"/>
          <w:szCs w:val="22"/>
        </w:rPr>
        <w:t xml:space="preserve">The labor invoice methodology developed by the Cold Ischemia Foundation provides a structural accounting of individual care partner contributions over a defined caregiving period. The methodology applies labor economics principles to a documented log of care activities categorized by task type — clinical support, logistical coordination, financial management, emotional support, transportation, medication management, and advocacy — matched against BLS occupational wage equivalents, and compiled as a formal economic invoice addressed to the healthcare system.</w:t>
      </w:r>
    </w:p>
    <w:p>
      <w:pPr>
        <w:spacing w:after="220" w:before="80" w:line="340"/>
        <w:jc w:val="both"/>
      </w:pPr>
      <w:r>
        <w:rPr>
          <w:rFonts w:ascii="Arial" w:cs="Arial" w:eastAsia="Arial" w:hAnsi="Arial"/>
          <w:b w:val="false"/>
          <w:bCs w:val="false"/>
          <w:i w:val="false"/>
          <w:iCs w:val="false"/>
          <w:color w:val="1A1A1A"/>
          <w:sz w:val="22"/>
          <w:szCs w:val="22"/>
        </w:rPr>
        <w:t xml:space="preserve">Applied to the case of Marie Parke, RN — co-founder of the Cold Ischemia Foundation, radiation oncology nurse, and care partner to Jeff Parke through three kidney transplants over 17 years — the labor invoice documents $466,000 in uncompensated care partner labor. The transplant timeline spans Duke University (3-year wait, graft lasted 7 years), Transplant 2 (7-year wait, graft lasted 1 year and failed), and Transplant 3 (10-year wait, current). The documented invoice reflects conservative wage-equivalent calculations, excludes the clinical nursing expertise applied in caregiving contexts, and does not account for career disruption costs or long-term earnings impacts. The bowl in the Parke household holds more than 500 hospital wristbands — a physical record of encounters that the healthcare system generated but for which it has never accounted the care labor they required.</w:t>
      </w:r>
    </w:p>
    <w:p>
      <w:pPr>
        <w:spacing w:after="220" w:before="80" w:line="340"/>
        <w:jc w:val="both"/>
      </w:pPr>
      <w:r>
        <w:rPr>
          <w:rFonts w:ascii="Arial" w:cs="Arial" w:eastAsia="Arial" w:hAnsi="Arial"/>
          <w:b w:val="false"/>
          <w:bCs w:val="false"/>
          <w:i w:val="false"/>
          <w:iCs w:val="false"/>
          <w:color w:val="1A1A1A"/>
          <w:sz w:val="22"/>
          <w:szCs w:val="22"/>
        </w:rPr>
        <w:t xml:space="preserve">The labor invoice methodology has implications beyond the individual case. At national scale, a survey instrument based on the labor invoice framework, administered to a representative sample of transplant care partners, would produce the first systematic evidence base for the economic burden of transplant-related caregiving — data that would make the policy case for care partner compensation in the language that policymakers respond to: dollars and economic analysis.</w:t>
      </w:r>
    </w:p>
    <w:p>
      <w:pPr>
        <w:pStyle w:val="Heading2"/>
        <w:spacing w:after="160" w:before="280" w:line="280"/>
        <w:jc w:val="left"/>
      </w:pPr>
      <w:r>
        <w:rPr>
          <w:rFonts w:ascii="Arial" w:cs="Arial" w:eastAsia="Arial" w:hAnsi="Arial"/>
          <w:b/>
          <w:bCs/>
          <w:i w:val="false"/>
          <w:iCs w:val="false"/>
          <w:color w:val="1B2A4A"/>
          <w:sz w:val="25"/>
          <w:szCs w:val="25"/>
        </w:rPr>
        <w:t xml:space="preserve">11.3 Federal Recognition Pathways</w:t>
      </w:r>
    </w:p>
    <w:p>
      <w:pPr>
        <w:spacing w:after="220" w:before="80" w:line="340"/>
        <w:jc w:val="both"/>
      </w:pPr>
      <w:r>
        <w:rPr>
          <w:rFonts w:ascii="Arial" w:cs="Arial" w:eastAsia="Arial" w:hAnsi="Arial"/>
          <w:b w:val="false"/>
          <w:bCs w:val="false"/>
          <w:i w:val="false"/>
          <w:iCs w:val="false"/>
          <w:color w:val="1A1A1A"/>
          <w:sz w:val="22"/>
          <w:szCs w:val="22"/>
        </w:rPr>
        <w:t xml:space="preserve">Three federal recognition pathways for care partner compensation are currently available or under development. First, a CMS Section 1115 Medicaid waiver would allow state programs to reimburse family care partners for specific documented activities as an alternative to more expensive institutional care. Several states have active 1115 proposals that include family caregiver compensation components for chronic illness management. None specifically targets transplant care partners, but the legal pathway is established and the IOTA Model's care coordination framework creates a natural vehicle for expansion.</w:t>
      </w:r>
    </w:p>
    <w:p>
      <w:pPr>
        <w:spacing w:after="220" w:before="80" w:line="340"/>
        <w:jc w:val="both"/>
      </w:pPr>
      <w:r>
        <w:rPr>
          <w:rFonts w:ascii="Arial" w:cs="Arial" w:eastAsia="Arial" w:hAnsi="Arial"/>
          <w:b w:val="false"/>
          <w:bCs w:val="false"/>
          <w:i w:val="false"/>
          <w:iCs w:val="false"/>
          <w:color w:val="1A1A1A"/>
          <w:sz w:val="22"/>
          <w:szCs w:val="22"/>
        </w:rPr>
        <w:t xml:space="preserve">Second, a CMMI Innovation Center model specifically targeting transplant care partner support could test payment approaches without full Medicare rulemaking. CMMI models operate on a five-year horizon with mandatory evaluation and CMS authority to scale successful models through rulemaking. A transplant care partner support model would align with CMMI's stated priority areas of reducing health disparities and improving care for high-need populations — both of which are directly served by reducing care partner attrition, which disproportionately affects lower-income and minority families.</w:t>
      </w:r>
    </w:p>
    <w:p>
      <w:pPr>
        <w:spacing w:after="220" w:before="80" w:line="340"/>
        <w:jc w:val="both"/>
      </w:pPr>
      <w:r>
        <w:rPr>
          <w:rFonts w:ascii="Arial" w:cs="Arial" w:eastAsia="Arial" w:hAnsi="Arial"/>
          <w:b w:val="false"/>
          <w:bCs w:val="false"/>
          <w:i w:val="false"/>
          <w:iCs w:val="false"/>
          <w:color w:val="1A1A1A"/>
          <w:sz w:val="22"/>
          <w:szCs w:val="22"/>
        </w:rPr>
        <w:t xml:space="preserve">Third, direct federal legislation through NOTA reauthorization could establish care partner compensation authority as part of the transplant system's federal funding architecture. Inclusion of care partner compensation in the NOTA reauthorization would establish the legal basis for federal payment without requiring separate legislation — a strategic legislative pathway that builds on existing Congressional attention to transplant system reform.</w:t>
      </w:r>
    </w:p>
    <w:p>
      <w:pPr>
        <w:pStyle w:val="Heading2"/>
        <w:spacing w:after="160" w:before="280" w:line="280"/>
        <w:jc w:val="left"/>
      </w:pPr>
      <w:r>
        <w:rPr>
          <w:rFonts w:ascii="Arial" w:cs="Arial" w:eastAsia="Arial" w:hAnsi="Arial"/>
          <w:b/>
          <w:bCs/>
          <w:i w:val="false"/>
          <w:iCs w:val="false"/>
          <w:color w:val="1B2A4A"/>
          <w:sz w:val="25"/>
          <w:szCs w:val="25"/>
        </w:rPr>
        <w:t xml:space="preserve">11.4 The Marie's Lifeline Model</w:t>
      </w:r>
    </w:p>
    <w:p>
      <w:pPr>
        <w:spacing w:after="220" w:before="80" w:line="340"/>
        <w:jc w:val="both"/>
      </w:pPr>
      <w:r>
        <w:rPr>
          <w:rFonts w:ascii="Arial" w:cs="Arial" w:eastAsia="Arial" w:hAnsi="Arial"/>
          <w:b w:val="false"/>
          <w:bCs w:val="false"/>
          <w:i w:val="false"/>
          <w:iCs w:val="false"/>
          <w:color w:val="1A1A1A"/>
          <w:sz w:val="22"/>
          <w:szCs w:val="22"/>
        </w:rPr>
        <w:t xml:space="preserve">Marie's Lifeline Compensation Act, developed by the Cold Ischemia Foundation, proposes a federal care partner compensation structure built on three principles: documentation-based eligibility (a log of qualifying activities meeting a minimum hours threshold); wage-equivalent compensation at a standardized rate equivalent to a home health aide; and a time-limited benefit covering the highest-intensity periods of the transplant episode — pre-transplant workup, surgery and hospitalization, the first 90 days post-transplant, and documented periods of acute rejection or complication management.</w:t>
      </w:r>
    </w:p>
    <w:p>
      <w:pPr>
        <w:spacing w:after="220" w:before="80" w:line="340"/>
        <w:jc w:val="both"/>
      </w:pPr>
      <w:r>
        <w:rPr>
          <w:rFonts w:ascii="Arial" w:cs="Arial" w:eastAsia="Arial" w:hAnsi="Arial"/>
          <w:b w:val="false"/>
          <w:bCs w:val="false"/>
          <w:i w:val="false"/>
          <w:iCs w:val="false"/>
          <w:color w:val="1A1A1A"/>
          <w:sz w:val="22"/>
          <w:szCs w:val="22"/>
        </w:rPr>
        <w:t xml:space="preserve">The Act's design deliberately avoids means-testing complexity while maintaining documentation requirements that create an accountability structure for the public expenditure. The federal cost per transplant episode would range from approximately $8,000 to $14,000 in care partner compensation — substantially below the cost of institutional care alternatives and a small fraction of the $145,000 annual cost savings generated by a successful kidney transplant relative to continued dialysis (USRDS, 2023). The Marie's Lifeline model is not merely compensatory; it is structural. It creates a federal record of care partner contributions, generates data infrastructure for policy refinement, establishes the care partner as a recognized participant in the healthcare system, and creates a population of documented care partners who can be enrolled in longitudinal research.</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12. Racial and Socioeconomic Equity: Structural Failures and Targeted Remediation</w:t>
      </w:r>
    </w:p>
    <w:p>
      <w:pPr>
        <w:pStyle w:val="Heading2"/>
        <w:spacing w:after="160" w:before="280" w:line="280"/>
        <w:jc w:val="left"/>
      </w:pPr>
      <w:r>
        <w:rPr>
          <w:rFonts w:ascii="Arial" w:cs="Arial" w:eastAsia="Arial" w:hAnsi="Arial"/>
          <w:b/>
          <w:bCs/>
          <w:i w:val="false"/>
          <w:iCs w:val="false"/>
          <w:color w:val="1B2A4A"/>
          <w:sz w:val="25"/>
          <w:szCs w:val="25"/>
        </w:rPr>
        <w:t xml:space="preserve">12.1 The Equity Burden: Documented Disparities</w:t>
      </w:r>
    </w:p>
    <w:p>
      <w:pPr>
        <w:spacing w:after="220" w:before="80" w:line="340"/>
        <w:jc w:val="both"/>
      </w:pPr>
      <w:r>
        <w:rPr>
          <w:rFonts w:ascii="Arial" w:cs="Arial" w:eastAsia="Arial" w:hAnsi="Arial"/>
          <w:b w:val="false"/>
          <w:bCs w:val="false"/>
          <w:i w:val="false"/>
          <w:iCs w:val="false"/>
          <w:color w:val="1A1A1A"/>
          <w:sz w:val="22"/>
          <w:szCs w:val="22"/>
        </w:rPr>
        <w:t xml:space="preserve">The transplant system's equity failures are structural features of its design, not residual inequalities approaching convergence. They exist at every step of the evaluation-to-transplant pipeline, across multiple racial and ethnic groups, and are not fully explained by clinical factors, insurance status, or geographic access.</w:t>
      </w:r>
    </w:p>
    <w:p>
      <w:pPr>
        <w:spacing w:after="220" w:before="80" w:line="340"/>
        <w:jc w:val="both"/>
      </w:pPr>
      <w:r>
        <w:rPr>
          <w:rFonts w:ascii="Arial" w:cs="Arial" w:eastAsia="Arial" w:hAnsi="Arial"/>
          <w:b w:val="false"/>
          <w:bCs w:val="false"/>
          <w:i w:val="false"/>
          <w:iCs w:val="false"/>
          <w:color w:val="1A1A1A"/>
          <w:sz w:val="22"/>
          <w:szCs w:val="22"/>
        </w:rPr>
        <w:t xml:space="preserve">For Hispanic patients, disparities are documented at each pipeline stage: 8 percent less likely to be approved by the kidney-pancreas committee after completing evaluation; 13 percent less likely to be waitlisted after committee approval; and 16 percent less likely overall to reach kidney transplantation among those initiating evaluation, after adjustment for clinical characteristics, insurance type, and transplant center (Gordon et al., 2024). Among patients aged 18 to 29 with kidney failure, non-Hispanic Black patients are 27 percent less likely to be waitlisted than non-Hispanic White patients — a disparity that is particularly indefensible in the population with the most life-years to gain from transplantation (Husain et al., 2023).</w:t>
      </w:r>
    </w:p>
    <w:p>
      <w:pPr>
        <w:spacing w:after="220" w:before="80" w:line="340"/>
        <w:jc w:val="both"/>
      </w:pPr>
      <w:r>
        <w:rPr>
          <w:rFonts w:ascii="Arial" w:cs="Arial" w:eastAsia="Arial" w:hAnsi="Arial"/>
          <w:b w:val="false"/>
          <w:bCs w:val="false"/>
          <w:i w:val="false"/>
          <w:iCs w:val="false"/>
          <w:color w:val="1A1A1A"/>
          <w:sz w:val="22"/>
          <w:szCs w:val="22"/>
        </w:rPr>
        <w:t xml:space="preserve">Black living donors declined from 11.9 percent of all living donors in 2011 to 7.6 percent in 2022, a 36 percent relative decline over a decade of overall living donor growth (Lentine et al., 2024; Patzer, 2024). Native Americans experienced a 14 percent decrease in kidney transplant rate from 2011 to 2021 (Patzer, 2024). Socioeconomic disparities compound racial disparities: patients in the lowest income quartile have a 32 percent lower probability of reaching transplantation than patients in the highest income quartile, independent of insurance type (Patzer et al., 2023). The interaction between racial and socioeconomic factors is multiplicative — Black patients in the lowest income quartile face a compounded disadvantage that exceeds the sum of the individual race and income effects.</w:t>
      </w:r>
    </w:p>
    <w:p>
      <w:pPr>
        <w:pStyle w:val="Heading2"/>
        <w:spacing w:after="160" w:before="280" w:line="280"/>
        <w:jc w:val="left"/>
      </w:pPr>
      <w:r>
        <w:rPr>
          <w:rFonts w:ascii="Arial" w:cs="Arial" w:eastAsia="Arial" w:hAnsi="Arial"/>
          <w:b/>
          <w:bCs/>
          <w:i w:val="false"/>
          <w:iCs w:val="false"/>
          <w:color w:val="1B2A4A"/>
          <w:sz w:val="25"/>
          <w:szCs w:val="25"/>
        </w:rPr>
        <w:t xml:space="preserve">12.2 Systemic Drivers of Disparity</w:t>
      </w:r>
    </w:p>
    <w:p>
      <w:pPr>
        <w:spacing w:after="220" w:before="80" w:line="340"/>
        <w:jc w:val="both"/>
      </w:pPr>
      <w:r>
        <w:rPr>
          <w:rFonts w:ascii="Arial" w:cs="Arial" w:eastAsia="Arial" w:hAnsi="Arial"/>
          <w:b w:val="false"/>
          <w:bCs w:val="false"/>
          <w:i w:val="false"/>
          <w:iCs w:val="false"/>
          <w:color w:val="1A1A1A"/>
          <w:sz w:val="22"/>
          <w:szCs w:val="22"/>
        </w:rPr>
        <w:t xml:space="preserve">Three structural mechanisms account for the majority of documented disparity. Geographic concentration of transplant centers: approximately 80 percent of U.S. transplant centers are in metropolitan areas with populations above 500,000, while Black, Hispanic, and Native American patients are disproportionately located in rural areas and smaller cities with limited transplant center access. The CKD-EPI creatinine equation, which until 2022 included a race coefficient that estimated higher kidney function for Black patients than the measured GFR would indicate, delayed nephrology referral and waitlist access for Black patients for decades — a scientific equity failure with direct clinical consequences that the revised 2021 CKD-EPI equation without race coefficient has only partially addressed.</w:t>
      </w:r>
    </w:p>
    <w:p>
      <w:pPr>
        <w:spacing w:after="220" w:before="80" w:line="340"/>
        <w:jc w:val="both"/>
      </w:pPr>
      <w:r>
        <w:rPr>
          <w:rFonts w:ascii="Arial" w:cs="Arial" w:eastAsia="Arial" w:hAnsi="Arial"/>
          <w:b w:val="false"/>
          <w:bCs w:val="false"/>
          <w:i w:val="false"/>
          <w:iCs w:val="false"/>
          <w:color w:val="1A1A1A"/>
          <w:sz w:val="22"/>
          <w:szCs w:val="22"/>
        </w:rPr>
        <w:t xml:space="preserve">Absence of culturally competent outreach: kidney disease education programs have historically been designed for high-English-literacy, high-health-literacy populations. The biological reality that Black Americans are disproportionately affected by kidney failure — through APOL1 genetic variants, higher rates of hypertension and diabetes, and documented barriers to early nephrology care — is not matched by equivalent investment in community-level outreach or living donor conversations in Black communities. Implicit bias in committee review: structured analysis of committee approval rates shows disparities that persist after clinical adjustment, suggesting institutional practices rather than clinical factors drive a meaningful component of the approval gap.</w:t>
      </w:r>
    </w:p>
    <w:p>
      <w:pPr>
        <w:pStyle w:val="Heading2"/>
        <w:spacing w:after="160" w:before="280" w:line="280"/>
        <w:jc w:val="left"/>
      </w:pPr>
      <w:r>
        <w:rPr>
          <w:rFonts w:ascii="Arial" w:cs="Arial" w:eastAsia="Arial" w:hAnsi="Arial"/>
          <w:b/>
          <w:bCs/>
          <w:i w:val="false"/>
          <w:iCs w:val="false"/>
          <w:color w:val="1B2A4A"/>
          <w:sz w:val="25"/>
          <w:szCs w:val="25"/>
        </w:rPr>
        <w:t xml:space="preserve">12.3 Targeted Countermeasures with Enforcement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rPr>
          <w:tblHeader/>
        </w:trPr>
        <w:tc>
          <w:tcPr>
            <w:tcW w:type="dxa" w:w="2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Structural Driver</w:t>
            </w:r>
          </w:p>
        </w:tc>
        <w:tc>
          <w:tcPr>
            <w:tcW w:type="dxa" w:w="25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Countermeasure</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Enforcement Mechanism</w:t>
            </w:r>
          </w:p>
        </w:tc>
        <w:tc>
          <w:tcPr>
            <w:tcW w:type="dxa" w:w="25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Measurable Target</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Geographic access gap</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Telehealth evaluation for living donors and pre-listing workup; mobile evaluation units for rural centers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CMS reimbursement for transplant telehealth; HRSA rural health grant requirement</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Reduce rural-urban evaluation completion gap 30% by 2028</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Language and literacy barriers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Mandatory bilingual donor coordinators at centers where &gt;10% of referrals are non-English-speaking; translated materials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OPTN accreditation standard; CMS CoP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Bilingual coordinator present at all qualifying centers by FY 2027</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Implicit bias in committee review</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Structured review with documented criteria; required bias training for committee members; annual disparity audit</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OPTN standard work; CMS quality metric; HRSA oversight</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Reduce committee approval rate disparity by race/ethnicity 50% by 2030</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Financial barriers for low-wage donors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Eliminate income-based NLDAC eligibility; HOLD Act passage; Living Donor Protection Act FMLA provision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Congressional authorization; HRSA program rules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Restore Black and Hispanic living donor rates to 2011 baseline by 2028</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Community outreach and education</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Federally funded community health worker program targeting APOL1-prevalent communities; OPTN public awareness campaign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HRSA grant program; OPTN public education mandate</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Document 25% increase in evaluation initiation among Black and Hispanic candidates by 2028</w:t>
            </w:r>
          </w:p>
        </w:tc>
      </w:tr>
    </w:tbl>
    <w:p>
      <w:pPr>
        <w:spacing w:after="200" w:before="80" w:line="280"/>
        <w:jc w:val="center"/>
      </w:pPr>
      <w:r>
        <w:rPr>
          <w:rFonts w:ascii="Arial" w:cs="Arial" w:eastAsia="Arial" w:hAnsi="Arial"/>
          <w:b w:val="false"/>
          <w:bCs w:val="false"/>
          <w:i/>
          <w:iCs/>
          <w:color w:val="4A5568"/>
          <w:sz w:val="18"/>
          <w:szCs w:val="18"/>
        </w:rPr>
        <w:t xml:space="preserve">Table 3. Equity Countermeasures with Structural Drivers and Enforcement Mechanisms. Each countermeasure is linked to a specific enforcement authority and a measurable target with a defined timeline. HOLD = Help Our Living Donors Act; NLDAC = National Living Donor Assistance Center; CoP = Conditions of Participation; APOL1 = apolipoprotein L1 gene variant associated with elevated kidney disease risk in Black patients.</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13. Institutional Resistance and Change Management</w:t>
      </w:r>
    </w:p>
    <w:p>
      <w:pPr>
        <w:pStyle w:val="Heading2"/>
        <w:spacing w:after="160" w:before="280" w:line="280"/>
        <w:jc w:val="left"/>
      </w:pPr>
      <w:r>
        <w:rPr>
          <w:rFonts w:ascii="Arial" w:cs="Arial" w:eastAsia="Arial" w:hAnsi="Arial"/>
          <w:b/>
          <w:bCs/>
          <w:i w:val="false"/>
          <w:iCs w:val="false"/>
          <w:color w:val="1B2A4A"/>
          <w:sz w:val="25"/>
          <w:szCs w:val="25"/>
        </w:rPr>
        <w:t xml:space="preserve">13.1 Why the System Resists Reform</w:t>
      </w:r>
    </w:p>
    <w:p>
      <w:pPr>
        <w:spacing w:after="220" w:before="80" w:line="340"/>
        <w:jc w:val="both"/>
      </w:pPr>
      <w:r>
        <w:rPr>
          <w:rFonts w:ascii="Arial" w:cs="Arial" w:eastAsia="Arial" w:hAnsi="Arial"/>
          <w:b w:val="false"/>
          <w:bCs w:val="false"/>
          <w:i w:val="false"/>
          <w:iCs w:val="false"/>
          <w:color w:val="1A1A1A"/>
          <w:sz w:val="22"/>
          <w:szCs w:val="22"/>
        </w:rPr>
        <w:t xml:space="preserve">The transplant system's resistance to reform reflects the rational behavior of multiple stakeholder groups whose institutional interests are served by the status quo. Transplant centers resist utilization requirements because accepting marginal kidneys risks one-year outcome data that affects CMS certification, SRTR performance rankings, institutional reputation, and referral volumes. OPOs resist accountability standards that expose the substantial variation in donor identification and approach rates documented across the 55 OPOs. The dialysis industry — through Fresenius Medical Care and DaVita, controlling approximately 70 percent of the U.S. dialysis market — has a direct financial interest in patients remaining on dialysis and has extensive funding relationships with patient advocacy organizations that nominally support transplant access while historically underinvesting in the structural reforms that would reduce dialysis utilization.</w:t>
      </w:r>
    </w:p>
    <w:p>
      <w:pPr>
        <w:spacing w:after="220" w:before="80" w:line="340"/>
        <w:jc w:val="both"/>
      </w:pPr>
      <w:r>
        <w:rPr>
          <w:rFonts w:ascii="Arial" w:cs="Arial" w:eastAsia="Arial" w:hAnsi="Arial"/>
          <w:b w:val="false"/>
          <w:bCs w:val="false"/>
          <w:i w:val="false"/>
          <w:iCs w:val="false"/>
          <w:color w:val="1A1A1A"/>
          <w:sz w:val="22"/>
          <w:szCs w:val="22"/>
        </w:rPr>
        <w:t xml:space="preserve">The specific mechanism of dialysis industry influence on transplant policy is not speculative. It operates through funding of patient advocacy organizations that are simultaneously positioned as representing transplant patient interests and financially dependent on dialysis company contributions. The Cold Ischemia Foundation's founding constraint of zero pharmaceutical, dialysis, or insurance industry funding was established precisely to ensure structural independence from these conflicting incentive systems — independence that is a prerequisite for the kind of confrontational but evidence-based structural advocacy that the reform environment requires.</w:t>
      </w:r>
    </w:p>
    <w:p>
      <w:pPr>
        <w:pStyle w:val="Heading2"/>
        <w:spacing w:after="160" w:before="280" w:line="280"/>
        <w:jc w:val="left"/>
      </w:pPr>
      <w:r>
        <w:rPr>
          <w:rFonts w:ascii="Arial" w:cs="Arial" w:eastAsia="Arial" w:hAnsi="Arial"/>
          <w:b/>
          <w:bCs/>
          <w:i w:val="false"/>
          <w:iCs w:val="false"/>
          <w:color w:val="1B2A4A"/>
          <w:sz w:val="25"/>
          <w:szCs w:val="25"/>
        </w:rPr>
        <w:t xml:space="preserve">13.2 Force-Field Analysis</w:t>
      </w:r>
    </w:p>
    <w:p>
      <w:pPr>
        <w:spacing w:after="220" w:before="80" w:line="340"/>
        <w:jc w:val="both"/>
      </w:pPr>
      <w:r>
        <w:rPr>
          <w:rFonts w:ascii="Arial" w:cs="Arial" w:eastAsia="Arial" w:hAnsi="Arial"/>
          <w:b w:val="false"/>
          <w:bCs w:val="false"/>
          <w:i w:val="false"/>
          <w:iCs w:val="false"/>
          <w:color w:val="1A1A1A"/>
          <w:sz w:val="22"/>
          <w:szCs w:val="22"/>
        </w:rPr>
        <w:t xml:space="preserve">A Lewin force-field analysis maps the driving forces for change against the restraining forces maintaining the status quo. Driving forces include: documented daily patient mortality (17 deaths per day creates an unambiguous moral case for urgency); HRSA's expanded regulatory authority and demonstrated willingness to exercise it through the OOS directive and OPO accountability rule; the newly independent OPTN Board; the IOTA Model's structural validation of the transplant-volume incentive concept; bipartisan Congressional attention following the 2025 OPO oversight hearings; and the growing advocacy capacity of grassroots transplant patient organizations operating without industry funding.</w:t>
      </w:r>
    </w:p>
    <w:p>
      <w:pPr>
        <w:spacing w:after="220" w:before="80" w:line="340"/>
        <w:jc w:val="both"/>
      </w:pPr>
      <w:r>
        <w:rPr>
          <w:rFonts w:ascii="Arial" w:cs="Arial" w:eastAsia="Arial" w:hAnsi="Arial"/>
          <w:b w:val="false"/>
          <w:bCs w:val="false"/>
          <w:i w:val="false"/>
          <w:iCs w:val="false"/>
          <w:color w:val="1A1A1A"/>
          <w:sz w:val="22"/>
          <w:szCs w:val="22"/>
        </w:rPr>
        <w:t xml:space="preserve">Restraining forces include: institutional inertia within transplant centers and OPOs whose current practices are optimized for the existing metric structure; the CMS quality metric misalignment that makes utilization improvements financially irrational at the center level absent IOTA coverage; the dialysis industry's advocacy infrastructure; the 18 to 36-month OPTN policy development timeline; the political fragility of the bipartisan coalition supporting transplant reform; and the absence of a unified patient advocacy voice, with the field fragmented across organizations with varying industry funding relationships and correspondingly varying willingness to advocate for structural change.</w:t>
      </w:r>
    </w:p>
    <w:p>
      <w:pPr>
        <w:spacing w:after="220" w:before="80" w:line="340"/>
        <w:jc w:val="both"/>
      </w:pPr>
      <w:r>
        <w:rPr>
          <w:rFonts w:ascii="Arial" w:cs="Arial" w:eastAsia="Arial" w:hAnsi="Arial"/>
          <w:b w:val="false"/>
          <w:bCs w:val="false"/>
          <w:i w:val="false"/>
          <w:iCs w:val="false"/>
          <w:color w:val="1A1A1A"/>
          <w:sz w:val="22"/>
          <w:szCs w:val="22"/>
        </w:rPr>
        <w:t xml:space="preserve">The force-field analysis indicates that the most effective reform strategy reduces restraining forces rather than amplifying driving forces. Adding more evidence, advocacy, or legislative proposals does not overcome institutional resistance if the structural incentives driving resistance remain unchanged. The three highest-leverage restraining force reductions are: the CMS metric realignment (which converts a financial disincentive for utilization into a financial incentive, changing center behavior without requiring individual attitude change); the OPTN policy development acceleration (which converts consensus into action rather than stasis); and the regulatory codification strategy (which protects gains from reversal by the institutional forces that are most motivated to reverse them).</w:t>
      </w:r>
    </w:p>
    <w:p>
      <w:pPr>
        <w:pStyle w:val="Heading2"/>
        <w:spacing w:after="160" w:before="280" w:line="280"/>
        <w:jc w:val="left"/>
      </w:pPr>
      <w:r>
        <w:rPr>
          <w:rFonts w:ascii="Arial" w:cs="Arial" w:eastAsia="Arial" w:hAnsi="Arial"/>
          <w:b/>
          <w:bCs/>
          <w:i w:val="false"/>
          <w:iCs w:val="false"/>
          <w:color w:val="1B2A4A"/>
          <w:sz w:val="25"/>
          <w:szCs w:val="25"/>
        </w:rPr>
        <w:t xml:space="preserve">13.3 Novel LSS Visual II: Multi-Generational Project Plan (MGPP)</w:t>
      </w:r>
    </w:p>
    <w:p>
      <w:pPr>
        <w:spacing w:after="220" w:before="80" w:line="340"/>
        <w:jc w:val="both"/>
      </w:pPr>
      <w:r>
        <w:rPr>
          <w:rFonts w:ascii="Arial" w:cs="Arial" w:eastAsia="Arial" w:hAnsi="Arial"/>
          <w:b w:val="false"/>
          <w:bCs w:val="false"/>
          <w:i w:val="false"/>
          <w:iCs w:val="false"/>
          <w:color w:val="1A1A1A"/>
          <w:sz w:val="22"/>
          <w:szCs w:val="22"/>
        </w:rPr>
        <w:t xml:space="preserve">The Multi-Generational Project Plan is a strategic Lean Six Sigma tool used in complex improvement programs where a single project cannot achieve the ultimate system-state objective. It maps three or more sequential generations of improvement, with explicit carry-forward elements from each generation enabling the next. The MGPP is standard in automotive and aerospace quality programs. Its application to federal health policy reform is, to this author's knowledge, novel in the transplant policy literature, and provides a planning architecture that is specifically suited to the multi-year, multi-actor, multi-institutional nature of transplant system reform.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520"/>
        <w:gridCol w:w="2520"/>
        <w:gridCol w:w="2760"/>
      </w:tblGrid>
      <w:tr>
        <w:trPr>
          <w:tblHeader w:val="false"/>
        </w:trPr>
        <w:tc>
          <w:tcPr>
            <w:tcW w:type="dxa" w:w="9360"/>
            <w:gridSpan w:val="4"/>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9"/>
                <w:szCs w:val="19"/>
              </w:rPr>
              <w:t xml:space="preserve">MULTI-GENERATIONAL PROJECT PLAN — U.S. Transplant System Transformation</w:t>
            </w:r>
          </w:p>
        </w:tc>
      </w:tr>
      <w:tr>
        <w:trPr>
          <w:tblHeader/>
        </w:trPr>
        <w:tc>
          <w:tcPr>
            <w:tcW w:type="dxa" w:w="1560"/>
            <w:tcBorders>
              <w:top w:val="single" w:color="CCCCCC" w:sz="1"/>
              <w:left w:val="single" w:color="CCCCCC" w:sz="1"/>
              <w:bottom w:val="single" w:color="CCCCCC" w:sz="1"/>
              <w:right w:val="single" w:color="CCCCCC" w:sz="1"/>
            </w:tcBorders>
            <w:shd w:fill="4A5568"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Element</w:t>
            </w:r>
          </w:p>
        </w:tc>
        <w:tc>
          <w:tcPr>
            <w:tcW w:type="dxa" w:w="2520"/>
            <w:tcBorders>
              <w:top w:val="single" w:color="CCCCCC" w:sz="1"/>
              <w:left w:val="single" w:color="CCCCCC" w:sz="1"/>
              <w:bottom w:val="single" w:color="CCCCCC" w:sz="1"/>
              <w:right w:val="single" w:color="CCCCCC" w:sz="1"/>
            </w:tcBorders>
            <w:shd w:fill="8B2A1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Generation 1: Stabilize &amp; Measure
FY 2026 – FY 2027</w:t>
            </w:r>
          </w:p>
        </w:tc>
        <w:tc>
          <w:tcPr>
            <w:tcW w:type="dxa" w:w="25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Generation 2: Structural Reform
FY 2027 – FY 2029</w:t>
            </w:r>
          </w:p>
        </w:tc>
        <w:tc>
          <w:tcPr>
            <w:tcW w:type="dxa" w:w="2760"/>
            <w:tcBorders>
              <w:top w:val="single" w:color="CCCCCC" w:sz="1"/>
              <w:left w:val="single" w:color="CCCCCC" w:sz="1"/>
              <w:bottom w:val="single" w:color="CCCCCC" w:sz="1"/>
              <w:right w:val="single" w:color="CCCCCC" w:sz="1"/>
            </w:tcBorders>
            <w:shd w:fill="2D6A2D" w:val="clear"/>
            <w:tcMar>
              <w:top w:type="dxa" w:w="100"/>
              <w:left w:type="dxa" w:w="120"/>
              <w:bottom w:type="dxa" w:w="100"/>
              <w:right w:type="dxa" w:w="120"/>
            </w:tcMar>
            <w:vAlign w:val="top"/>
          </w:tcPr>
          <w:p>
            <w:pPr>
              <w:spacing w:after="160" w:before="0" w:line="280"/>
              <w:jc w:val="center"/>
            </w:pPr>
            <w:r>
              <w:rPr>
                <w:rFonts w:ascii="Arial" w:cs="Arial" w:eastAsia="Arial" w:hAnsi="Arial"/>
                <w:b/>
                <w:bCs/>
                <w:i w:val="false"/>
                <w:iCs w:val="false"/>
                <w:color w:val="FFFFFF"/>
                <w:sz w:val="18"/>
                <w:szCs w:val="18"/>
              </w:rPr>
              <w:t xml:space="preserve">Generation 3: System Optimization
FY 2029 – FY 2032</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Primary Objective</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Stop the regression: halt the rise in kidney non-use rate; establish SPC governance; document baseline equity metrics; stabilize OOS allocation via Expedited Placement Policy</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Drive structural change: enact LDPA and NLDAC reform; realign CMS metrics system-wide; launch universal workup; mandate HMP; expand IOTA to all hospitals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Achieve and sustain targets: non-use rate &lt;15%; living donors &gt;10,000/yr; care partner compensation operational; equity gaps closed 50%; IOTA permanent in CoP</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Lead Vehicle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HRSA OPTN Modernization Initiative; IOTA Model Year 1 monitoring; OPO accountability rule enforcement; HRSA OOS directive compliance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119th Congress legislative package; CMS rulemaking (CoP + IOTA expansion); OPTN policy committee action; HRSA grant programs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NOTA reauthorization; CMMI innovation model scaling; IOTA permanence rulemaking; international alignment protocol</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Key Deliverables</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SPC charts operational quarterly; OPTN dashboard launched; OPO tier 1/2/3 assessments published; EPP pilot submitted for OPTN comment; equity baseline documented by race/ethnicity/geography</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LDPA enacted; NLDAC cap eliminated or raised to $24K; universal workup protocol adopted; EPP live; HMP mandate in CMS CoP; CMS utilization metric weight ≥30%; IOTA expanded to all eligible hospitals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10-yr LD registry operational; care partner compensation national; PCE improved to &gt;4%; racial equity targets met; IOTA architecture permanent; independent audit function established</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Measurement System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OPTN quarterly SPC for 8 core metrics; SRTR annual report baseline; NLDAC utilization audit; equity metrics dashboard by race/ethnicity; IOTA Year 1 performance data</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Congressional tracking of 14 legislative vehicles; CMS rulemaking docket; OPTN policy vote records; center-level compliance data; IOTA Year 2-3 performance vs. comparison group</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OPTN public dashboard longitudinal; independent annual audit; Congressional annual report; peer-reviewed outcomes publications; international benchmarking update</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Carry-Forward to Next Generation</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SPC infrastructure enables Gen 2 compliance monitoring
Equity baseline enables targeted interventions
Care partner registry enables compensation program</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LDPA enactment enables donor growth acceleration
CMS metric realignment enables center behavior change
HMP mandate enables non-use reduction</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LD registry data informs Gen 4 donor safety protocols
Care partner program provides national chronic disease model
Equity achievement is replicable framework</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Risk / Contingency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Risk: Administration change slows HRSA modernization
Contingency: Anchor reforms in CMS regulation, not OPTN policy alone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Risk: Legislative stall on LDPA and NLDAC
Contingency: CMS rulemaking as parallel path to metric realignment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160" w:before="0" w:line="280"/>
              <w:jc w:val="left"/>
            </w:pPr>
            <w:r>
              <w:rPr>
                <w:rFonts w:ascii="Arial" w:cs="Arial" w:eastAsia="Arial" w:hAnsi="Arial"/>
                <w:b w:val="false"/>
                <w:bCs w:val="false"/>
                <w:i w:val="false"/>
                <w:iCs w:val="false"/>
                <w:color w:val="1A1A1A"/>
                <w:sz w:val="17"/>
                <w:szCs w:val="17"/>
              </w:rPr>
              <w:t xml:space="preserve">Risk: Institutional regression as political attention shifts
Contingency: Independent audit + Congressional reporting mandate</w:t>
            </w:r>
          </w:p>
        </w:tc>
      </w:tr>
    </w:tbl>
    <w:p>
      <w:pPr>
        <w:spacing w:after="200" w:before="80" w:line="280"/>
        <w:jc w:val="center"/>
      </w:pPr>
      <w:r>
        <w:rPr>
          <w:rFonts w:ascii="Arial" w:cs="Arial" w:eastAsia="Arial" w:hAnsi="Arial"/>
          <w:b w:val="false"/>
          <w:bCs w:val="false"/>
          <w:i/>
          <w:iCs/>
          <w:color w:val="4A5568"/>
          <w:sz w:val="18"/>
          <w:szCs w:val="18"/>
        </w:rPr>
        <w:t xml:space="preserve">Figure 9. Multi-Generational Project Plan (MGPP) — U.S. Transplant System Transformation. Three sequential improvement generations with explicit carry-forward elements. Novel application of this Lean Six Sigma strategic tool to federal health policy reform. LDPA = Living Donor Protection Act; EPP = Expedited Placement Policy; HMP = hypothermic machine perfusion; CoP = Conditions of Participation; PCE = Process Cycle Efficiency; LD = living donor; SPC = statistical process control; OOS = out-of-sequence.</w:t>
      </w:r>
    </w:p>
    <w:p>
      <w:pPr>
        <w:pStyle w:val="Heading2"/>
        <w:spacing w:after="160" w:before="280" w:line="280"/>
        <w:jc w:val="left"/>
      </w:pPr>
      <w:r>
        <w:rPr>
          <w:rFonts w:ascii="Arial" w:cs="Arial" w:eastAsia="Arial" w:hAnsi="Arial"/>
          <w:b/>
          <w:bCs/>
          <w:i w:val="false"/>
          <w:iCs w:val="false"/>
          <w:color w:val="1B2A4A"/>
          <w:sz w:val="25"/>
          <w:szCs w:val="25"/>
        </w:rPr>
        <w:t xml:space="preserve">13.4 Change Management in Federal Health Systems</w:t>
      </w:r>
    </w:p>
    <w:p>
      <w:pPr>
        <w:spacing w:after="220" w:before="80" w:line="340"/>
        <w:jc w:val="both"/>
      </w:pPr>
      <w:r>
        <w:rPr>
          <w:rFonts w:ascii="Arial" w:cs="Arial" w:eastAsia="Arial" w:hAnsi="Arial"/>
          <w:b w:val="false"/>
          <w:bCs w:val="false"/>
          <w:i w:val="false"/>
          <w:iCs w:val="false"/>
          <w:color w:val="1A1A1A"/>
          <w:sz w:val="22"/>
          <w:szCs w:val="22"/>
        </w:rPr>
        <w:t xml:space="preserve">Sustained improvement in federal health systems requires more than technical solutions. The Kotter eight-step model (Kotter, 1996), adapted for federal regulatory environments, maps the change management dimension of transplant reform: establish urgency (13 daily deaths provide the unambiguous case); form a guiding coalition (independent OPTN Board, HRSA, CMS, and patient advocacy without industry funding); develop a vision and strategy (the countermeasure portfolio and MGPP above); communicate the vision (public dashboards and Congressional reporting); empower broad-based action (remove structural barriers through metric realignment and LDPA enactment); generate short-term wins (OPO tier publication, dashboard launch, interim NLDAC increase); consolidate and produce more change (use Gen 1 wins to build support for Gen 2 structural reforms); and anchor in culture (regulatory codification, independent audit, patient governance representation).</w:t>
      </w:r>
    </w:p>
    <w:p>
      <w:pPr>
        <w:spacing w:after="220" w:before="80" w:line="340"/>
        <w:jc w:val="both"/>
      </w:pPr>
      <w:r>
        <w:rPr>
          <w:rFonts w:ascii="Arial" w:cs="Arial" w:eastAsia="Arial" w:hAnsi="Arial"/>
          <w:b w:val="false"/>
          <w:bCs w:val="false"/>
          <w:i w:val="false"/>
          <w:iCs w:val="false"/>
          <w:color w:val="1A1A1A"/>
          <w:sz w:val="22"/>
          <w:szCs w:val="22"/>
        </w:rPr>
        <w:t xml:space="preserve">The failure mode specific to federal health reform is institutional co-optation — the gradual reshaping of reform coalitions by the stakeholders they sought to reform. OPTN's 40-year history of simultaneously serving as the policy body and the contractor organization is the canonical example. The structural separation of 2025 is necessary but not sufficient: the same financial pressures, professional relationships, and institutional inertia that sustained the co-optation for four decades are still present. The five accountability mechanisms in Section 10.5 — regulatory codification, public dashboards, independent audit, Congressional reporting, and patient governance representation — are the specific structural safeguards against co-optation in the reformed system. None is sufficient alone; all five together create a multi-layer accountability architecture that is substantially harder to capture than any single mechanism.</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14. Technology, Data Infrastructure, and AI Integration</w:t>
      </w:r>
    </w:p>
    <w:p>
      <w:pPr>
        <w:pStyle w:val="Heading2"/>
        <w:spacing w:after="160" w:before="280" w:line="280"/>
        <w:jc w:val="left"/>
      </w:pPr>
      <w:r>
        <w:rPr>
          <w:rFonts w:ascii="Arial" w:cs="Arial" w:eastAsia="Arial" w:hAnsi="Arial"/>
          <w:b/>
          <w:bCs/>
          <w:i w:val="false"/>
          <w:iCs w:val="false"/>
          <w:color w:val="1B2A4A"/>
          <w:sz w:val="25"/>
          <w:szCs w:val="25"/>
        </w:rPr>
        <w:t xml:space="preserve">14.1 Current Data-System Failures</w:t>
      </w:r>
    </w:p>
    <w:p>
      <w:pPr>
        <w:spacing w:after="220" w:before="80" w:line="340"/>
        <w:jc w:val="both"/>
      </w:pPr>
      <w:r>
        <w:rPr>
          <w:rFonts w:ascii="Arial" w:cs="Arial" w:eastAsia="Arial" w:hAnsi="Arial"/>
          <w:b w:val="false"/>
          <w:bCs w:val="false"/>
          <w:i w:val="false"/>
          <w:iCs w:val="false"/>
          <w:color w:val="1A1A1A"/>
          <w:sz w:val="22"/>
          <w:szCs w:val="22"/>
        </w:rPr>
        <w:t xml:space="preserve">The transplant system's data infrastructure is fragmented across multiple incompatible systems — the OPTN match system, SRTR outcome registry, CMS claims data, center-level EHRs, OPO documentation systems, and NLDAC enrollment records — none of which are interoperable by design. The consequences are operational: donor workup results are not portable across transplant centers, requiring re-evaluation when a candidate changes programs; living donor outcomes beyond two years are not systematically collected; organ offer and refusal data are logged but not analyzed in real time to trigger allocation adjustments; and care partner data are not collected at all.</w:t>
      </w:r>
    </w:p>
    <w:p>
      <w:pPr>
        <w:spacing w:after="220" w:before="80" w:line="340"/>
        <w:jc w:val="both"/>
      </w:pPr>
      <w:r>
        <w:rPr>
          <w:rFonts w:ascii="Arial" w:cs="Arial" w:eastAsia="Arial" w:hAnsi="Arial"/>
          <w:b w:val="false"/>
          <w:bCs w:val="false"/>
          <w:i w:val="false"/>
          <w:iCs w:val="false"/>
          <w:color w:val="1A1A1A"/>
          <w:sz w:val="22"/>
          <w:szCs w:val="22"/>
        </w:rPr>
        <w:t xml:space="preserve">The OPTN's technology infrastructure contract, held by UNOS, was the subject of 2023 Senate Finance Committee documentation of system outages, data latency, and inadequate security practices (Senate Finance Committee, 2023). The OPTN Modernization Initiative includes technology modernization, but the pace has been constrained by the complexity of migrating mission-critical organ allocation software. The February 2025 OOS allocation directive exposed an additional data-system failure: the match run sequence, which is published publicly, was being regularly circumvented without the transparency that would allow patients or regulators to detect the pattern. A system in which a fundamental allocation principle can be routinely violated for years before federal intervention is a system whose data infrastructure does not support its governance function.</w:t>
      </w:r>
    </w:p>
    <w:p>
      <w:pPr>
        <w:spacing w:after="220" w:before="80" w:line="340"/>
        <w:jc w:val="both"/>
      </w:pPr>
      <w:r>
        <w:rPr>
          <w:rFonts w:ascii="Arial" w:cs="Arial" w:eastAsia="Arial" w:hAnsi="Arial"/>
          <w:b w:val="false"/>
          <w:bCs w:val="false"/>
          <w:i w:val="false"/>
          <w:iCs w:val="false"/>
          <w:color w:val="1A1A1A"/>
          <w:sz w:val="22"/>
          <w:szCs w:val="22"/>
        </w:rPr>
        <w:t xml:space="preserve">The seven data-system failures identified in the Ishikawa analysis — no interoperable national donor registry, manual lab data exchange, siloed paired exchange algorithms, no public donor safety dashboard, no long-term LD outcome data, no care partner data, and no real-time OOS detection — are primarily governance problems rather than technical ones. The absence of a federal mandate for interoperability, the absence of data standards requirements in the OPTN contract, and the absence of a long-term data architecture strategy for the transplant system are all policy failures that pre-date the current technology limitations.</w:t>
      </w:r>
    </w:p>
    <w:p>
      <w:pPr>
        <w:pStyle w:val="Heading2"/>
        <w:spacing w:after="160" w:before="280" w:line="280"/>
        <w:jc w:val="left"/>
      </w:pPr>
      <w:r>
        <w:rPr>
          <w:rFonts w:ascii="Arial" w:cs="Arial" w:eastAsia="Arial" w:hAnsi="Arial"/>
          <w:b/>
          <w:bCs/>
          <w:i w:val="false"/>
          <w:iCs w:val="false"/>
          <w:color w:val="1B2A4A"/>
          <w:sz w:val="25"/>
          <w:szCs w:val="25"/>
        </w:rPr>
        <w:t xml:space="preserve">14.2 AI in Allocation, Donor Matching, and Quality Assessment</w:t>
      </w:r>
    </w:p>
    <w:p>
      <w:pPr>
        <w:spacing w:after="220" w:before="80" w:line="340"/>
        <w:jc w:val="both"/>
      </w:pPr>
      <w:r>
        <w:rPr>
          <w:rFonts w:ascii="Arial" w:cs="Arial" w:eastAsia="Arial" w:hAnsi="Arial"/>
          <w:b w:val="false"/>
          <w:bCs w:val="false"/>
          <w:i w:val="false"/>
          <w:iCs w:val="false"/>
          <w:color w:val="1A1A1A"/>
          <w:sz w:val="22"/>
          <w:szCs w:val="22"/>
        </w:rPr>
        <w:t xml:space="preserve">AI and machine learning applications in transplant medicine have expanded substantially since 2020. Organ acceptance prediction models, trained on OPTN match data, can predict which centers are likely to accept a given kidney offer with accuracy exceeding logistic regression benchmarks, enabling more targeted initial offers that reduce sequential refusals and cold ischemia accumulation (Lau et al., 2023). Applied at scale, acceptance prediction models could reduce Accumulated Refusal Counts for high-risk kidneys by an estimated 15 to 25 percent, preventing some fraction of the current discard events attributed to cold ischemia accumulation.</w:t>
      </w:r>
    </w:p>
    <w:p>
      <w:pPr>
        <w:spacing w:after="220" w:before="80" w:line="340"/>
        <w:jc w:val="both"/>
      </w:pPr>
      <w:r>
        <w:rPr>
          <w:rFonts w:ascii="Arial" w:cs="Arial" w:eastAsia="Arial" w:hAnsi="Arial"/>
          <w:b w:val="false"/>
          <w:bCs w:val="false"/>
          <w:i w:val="false"/>
          <w:iCs w:val="false"/>
          <w:color w:val="1A1A1A"/>
          <w:sz w:val="22"/>
          <w:szCs w:val="22"/>
        </w:rPr>
        <w:t xml:space="preserve">Donor quality assessment models — extending beyond the KDPI scalar score to incorporate machine learning predictions from biopsy images, perfusate biomarkers, and donor physiological trajectories — are in clinical validation at multiple academic centers (Mitchell et al., 2024; Lefaucheur et al., 2023). These models have the potential to address over-reliance on KDPI as a quality proxy, which causes systematic discarding of kidneys that score poorly by KDPI but would produce acceptable outcomes in appropriate recipients. A 2024 analysis found that in the 2010 to 2021 period, 60 percent of discarded kidneys cited 'no recipient located' as the discard reason — a finding that points toward allocation efficiency failure rather than organ quality failure as the dominant mechanism of non-use (McKenney et al., 2024).</w:t>
      </w:r>
    </w:p>
    <w:p>
      <w:pPr>
        <w:spacing w:after="220" w:before="80" w:line="340"/>
        <w:jc w:val="both"/>
      </w:pPr>
      <w:r>
        <w:rPr>
          <w:rFonts w:ascii="Arial" w:cs="Arial" w:eastAsia="Arial" w:hAnsi="Arial"/>
          <w:b w:val="false"/>
          <w:bCs w:val="false"/>
          <w:i w:val="false"/>
          <w:iCs w:val="false"/>
          <w:color w:val="1A1A1A"/>
          <w:sz w:val="22"/>
          <w:szCs w:val="22"/>
        </w:rPr>
        <w:t xml:space="preserve">For living donor candidate identification, AI tools can analyze EHR data to identify potential living donors among the social networks of listed patients — family members, coworkers, and community members — who may have had recent blood type screenings or health assessments indicating possible compatibility. The Cold Ischemia Foundation's Project Donor-Flow white paper documents a five-tool AI framework for living donor pipeline optimization that combines EHR social network analysis, psychosocial readiness assessment, and personalized barrier prediction to generate targeted outreach interventions — directly addressing the retention problem at the filter stages where most candidate attrition occurs (Parke, 2026b).</w:t>
      </w:r>
    </w:p>
    <w:p>
      <w:pPr>
        <w:pStyle w:val="Heading2"/>
        <w:spacing w:after="160" w:before="280" w:line="280"/>
        <w:jc w:val="left"/>
      </w:pPr>
      <w:r>
        <w:rPr>
          <w:rFonts w:ascii="Arial" w:cs="Arial" w:eastAsia="Arial" w:hAnsi="Arial"/>
          <w:b/>
          <w:bCs/>
          <w:i w:val="false"/>
          <w:iCs w:val="false"/>
          <w:color w:val="1B2A4A"/>
          <w:sz w:val="25"/>
          <w:szCs w:val="25"/>
        </w:rPr>
        <w:t xml:space="preserve">14.3 Interoperability Requirements and Federal Standards</w:t>
      </w:r>
    </w:p>
    <w:p>
      <w:pPr>
        <w:spacing w:after="220" w:before="80" w:line="340"/>
        <w:jc w:val="both"/>
      </w:pPr>
      <w:r>
        <w:rPr>
          <w:rFonts w:ascii="Arial" w:cs="Arial" w:eastAsia="Arial" w:hAnsi="Arial"/>
          <w:b w:val="false"/>
          <w:bCs w:val="false"/>
          <w:i w:val="false"/>
          <w:iCs w:val="false"/>
          <w:color w:val="1A1A1A"/>
          <w:sz w:val="22"/>
          <w:szCs w:val="22"/>
        </w:rPr>
        <w:t xml:space="preserve">Realizing the potential of AI and data integration requires federal data standards that do not currently exist. Three specific requirements are proposed. First, all transplant centers receiving Medicare or Medicaid reimbursement should implement HL7 FHIR standards for transplant-relevant data elements, enabling workup results to follow a living donor candidate across centers. This requirement is consistent with existing CMS interoperability rules for EHRs and requires only a transplant-specific extension to standards already being implemented system-wide (CMS, 2020).</w:t>
      </w:r>
    </w:p>
    <w:p>
      <w:pPr>
        <w:spacing w:after="220" w:before="80" w:line="340"/>
        <w:jc w:val="both"/>
      </w:pPr>
      <w:r>
        <w:rPr>
          <w:rFonts w:ascii="Arial" w:cs="Arial" w:eastAsia="Arial" w:hAnsi="Arial"/>
          <w:b w:val="false"/>
          <w:bCs w:val="false"/>
          <w:i w:val="false"/>
          <w:iCs w:val="false"/>
          <w:color w:val="1A1A1A"/>
          <w:sz w:val="22"/>
          <w:szCs w:val="22"/>
        </w:rPr>
        <w:t xml:space="preserve">Second, the OPTN match system should expose a documented API for approved research and quality improvement applications, enabling independent researchers to develop and validate AI tools without requiring access to raw OPTN data. The public accountability function of performance transparency extends to the algorithmic substrate of allocation decisions: a system that allocates organs through opaque computational processes and does not enable independent validation of those processes is not a system that can claim public trust.</w:t>
      </w:r>
    </w:p>
    <w:p>
      <w:pPr>
        <w:spacing w:after="220" w:before="80" w:line="340"/>
        <w:jc w:val="both"/>
      </w:pPr>
      <w:r>
        <w:rPr>
          <w:rFonts w:ascii="Arial" w:cs="Arial" w:eastAsia="Arial" w:hAnsi="Arial"/>
          <w:b w:val="false"/>
          <w:bCs w:val="false"/>
          <w:i w:val="false"/>
          <w:iCs w:val="false"/>
          <w:color w:val="1A1A1A"/>
          <w:sz w:val="22"/>
          <w:szCs w:val="22"/>
        </w:rPr>
        <w:t xml:space="preserve">Third, machine learning models used for organ acceptance recommendation, donor quality assessment, or allocation decision support should be subject to a transparency and validation standard requiring: documentation of training data sources; model performance on representative test cohorts stratified by race and ethnicity; prospective validation before clinical deployment; and ongoing monitoring for model drift. The absence of AI governance standards in the current transplant system creates the risk that algorithmic tools could perpetuate or amplify existing disparities if trained on historically biased allocation decisions — a risk documented in the broader AI in healthcare literature (Obermeyer et al., 2019) and specifically relevant to a system whose equity failures are structural and documented.</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15. Discussion</w:t>
      </w:r>
    </w:p>
    <w:p>
      <w:pPr>
        <w:spacing w:after="220" w:before="80" w:line="340"/>
        <w:jc w:val="both"/>
      </w:pPr>
      <w:r>
        <w:rPr>
          <w:rFonts w:ascii="Arial" w:cs="Arial" w:eastAsia="Arial" w:hAnsi="Arial"/>
          <w:b w:val="false"/>
          <w:bCs w:val="false"/>
          <w:i w:val="false"/>
          <w:iCs w:val="false"/>
          <w:color w:val="1A1A1A"/>
          <w:sz w:val="22"/>
          <w:szCs w:val="22"/>
        </w:rPr>
        <w:t xml:space="preserve">The United States transplant system presents a fundamental paradox: record aggregate transplant volumes coexisting with the first kidney transplant decline in any non-pandemic year of the 21st century; a modest improvement in kidney discard rates in 2025 outpaced by a deterioration in deceased donor supply; a policy environment producing more reform proposals than in any prior era alongside a multi-decade history of not implementing the most consequential of them. This paradox is not accidental. It is the product of a system whose structural incentives — payment metrics, accountability frameworks, governance arrangements, and funding relationships — have been designed over time by and for the institutional stakeholders who benefit from the status quo, and who have sufficient organizational capacity to slow, dilute, or reverse structural reforms that threaten their position.</w:t>
      </w:r>
    </w:p>
    <w:p>
      <w:pPr>
        <w:spacing w:after="220" w:before="80" w:line="340"/>
        <w:jc w:val="both"/>
      </w:pPr>
      <w:r>
        <w:rPr>
          <w:rFonts w:ascii="Arial" w:cs="Arial" w:eastAsia="Arial" w:hAnsi="Arial"/>
          <w:b w:val="false"/>
          <w:bCs w:val="false"/>
          <w:i w:val="false"/>
          <w:iCs w:val="false"/>
          <w:color w:val="1A1A1A"/>
          <w:sz w:val="22"/>
          <w:szCs w:val="22"/>
        </w:rPr>
        <w:t xml:space="preserve">The Lean Six Sigma framework applied in this document is useful precisely because it refuses the premise that the problem is a knowledge problem. The transplant system does not lack evidence-based reform proposals. It lacks the process discipline and political accountability architecture to implement and sustain them. The DMAIC methodology's strength in this context is that it forces specificity at every stage — not 'we should improve living donor rates' but 'the financial filter reduces the candidate pool by 18 percent, the mechanism is the NLDAC's $6,000 combined cap and income-based eligibility structure, and the countermeasure is elimination of the cap and substitution of donor income-based eligibility.' That specificity is what makes the reform actionable and what makes accountability for its non-implementation attributable.</w:t>
      </w:r>
    </w:p>
    <w:p>
      <w:pPr>
        <w:spacing w:after="220" w:before="80" w:line="340"/>
        <w:jc w:val="both"/>
      </w:pPr>
      <w:r>
        <w:rPr>
          <w:rFonts w:ascii="Arial" w:cs="Arial" w:eastAsia="Arial" w:hAnsi="Arial"/>
          <w:b w:val="false"/>
          <w:bCs w:val="false"/>
          <w:i w:val="false"/>
          <w:iCs w:val="false"/>
          <w:color w:val="1A1A1A"/>
          <w:sz w:val="22"/>
          <w:szCs w:val="22"/>
        </w:rPr>
        <w:t xml:space="preserve">The launch of the IOTA Model on July 1, 2025 represents the most structurally significant reform in transplant center payment design since the original Conditions of Participation in 2007. Its importance is not primarily in the magnitude of its financial incentives — up to $15,000 per Medicare transplant is meaningful but not transformative — but in the principle it establishes: that federal payment policy should explicitly reward transplant volume and organ utilization, not only post-transplant survival in the patients who received organs. This principle, applied system-wide and made permanent, directly addresses the Five-Whys root cause that has sustained the non-use rate for over a decade. IOTA's current limitations — 40 percent hospital coverage, expiration in 2031, absence of living donor provisions — are reform targets, not arguments against IOTA's fundamental direction.</w:t>
      </w:r>
    </w:p>
    <w:p>
      <w:pPr>
        <w:spacing w:after="220" w:before="80" w:line="340"/>
        <w:jc w:val="both"/>
      </w:pPr>
      <w:r>
        <w:rPr>
          <w:rFonts w:ascii="Arial" w:cs="Arial" w:eastAsia="Arial" w:hAnsi="Arial"/>
          <w:b w:val="false"/>
          <w:bCs w:val="false"/>
          <w:i w:val="false"/>
          <w:iCs w:val="false"/>
          <w:color w:val="1A1A1A"/>
          <w:sz w:val="22"/>
          <w:szCs w:val="22"/>
        </w:rPr>
        <w:t xml:space="preserve">The equity analysis presented in Section 12 requires particular emphasis in the discussion because equity failures in the transplant system are not distributional concerns layered on top of an otherwise well-functioning process. They are performance failures in a system that explicitly claims to allocate organs based on medical need, waiting time, and biological compatibility — and does not. A 27 percent waitlisting gap for young Black patients, a 36 percent decline in Black living donor share over a decade, and documented committee approval rate disparities that persist after clinical adjustment are system performance failures of the first order. The countermeasures proposed in Section 12 are not diversity initiatives; they are quality improvement interventions for a process that is producing inconsistent outputs based on factors that are not meant to affect allocation.</w:t>
      </w:r>
    </w:p>
    <w:p>
      <w:pPr>
        <w:spacing w:after="220" w:before="80" w:line="340"/>
        <w:jc w:val="both"/>
      </w:pPr>
      <w:r>
        <w:rPr>
          <w:rFonts w:ascii="Arial" w:cs="Arial" w:eastAsia="Arial" w:hAnsi="Arial"/>
          <w:b w:val="false"/>
          <w:bCs w:val="false"/>
          <w:i w:val="false"/>
          <w:iCs w:val="false"/>
          <w:color w:val="1A1A1A"/>
          <w:sz w:val="22"/>
          <w:szCs w:val="22"/>
        </w:rPr>
        <w:t xml:space="preserve">The care partner recognition analysis in Section 11 introduces a dimension of the system's structural failures that has received insufficient attention in the transplant policy literature. The $1.37 billion annual estimate of uncompensated care partner labor in kidney transplantation alone is not a welfare concern — it is a systems analysis finding. A process that requires a $1.37 billion annual labor input that it does not count, compensate, or protect is a process with a catastrophic blind spot in its cost accounting. The Marie's Lifeline model's implementation architecture provides a federal policy vehicle for addressing this blind spot that is legally feasible, fiscally justified, and structurally aligned with existing CMMI innovation model pathways.</w:t>
      </w:r>
    </w:p>
    <w:p>
      <w:pPr>
        <w:spacing w:after="220" w:before="80" w:line="340"/>
        <w:jc w:val="both"/>
      </w:pPr>
      <w:r>
        <w:rPr>
          <w:rFonts w:ascii="Arial" w:cs="Arial" w:eastAsia="Arial" w:hAnsi="Arial"/>
          <w:b w:val="false"/>
          <w:bCs w:val="false"/>
          <w:i w:val="false"/>
          <w:iCs w:val="false"/>
          <w:color w:val="1A1A1A"/>
          <w:sz w:val="22"/>
          <w:szCs w:val="22"/>
        </w:rPr>
        <w:t xml:space="preserve">Regarding methodological limitations: several visualizations use illustrative proportions where primary data are unavailable, particularly the barrier-stack funnel and Pareto attrition rankings. The qualitative patterns are well-supported in the published literature, but precise quantitative attribution at each filter stage requires primary research — specifically, a prospective national survey of candidates who initiated evaluation but did not complete donation. The Multi-Generational Project Plan projects improvements across a four-to-six-year horizon in a policy environment that is actively evolving; specific timelines and legislative vehicles may change in ways that alter the feasibility or sequencing of interventions. The cross-national benchmarking draws on systems with different social and institutional contexts; the comparisons are instructive but not prescriptive, and the specific mechanisms of each system's performance advantage may not transfer directly to the U.S. context.</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16. Conclusion</w:t>
      </w:r>
    </w:p>
    <w:p>
      <w:pPr>
        <w:spacing w:after="220" w:before="80" w:line="340"/>
        <w:jc w:val="both"/>
      </w:pPr>
      <w:r>
        <w:rPr>
          <w:rFonts w:ascii="Arial" w:cs="Arial" w:eastAsia="Arial" w:hAnsi="Arial"/>
          <w:b w:val="false"/>
          <w:bCs w:val="false"/>
          <w:i w:val="false"/>
          <w:iCs w:val="false"/>
          <w:color w:val="1A1A1A"/>
          <w:sz w:val="22"/>
          <w:szCs w:val="22"/>
        </w:rPr>
        <w:t xml:space="preserve">The United States transplant system is, in Lean Six Sigma terms, a process with high aggregate output but poor process discipline, statistically out-of-control variation in its key quality metric, accumulating defects, and value-stream efficiency below one percent. It is simultaneously a system in which more than 100,000 patients await transplantation, approximately 13 die each day waiting for a kidney, and a care partner community contributes an estimated $1.37 billion annually in uncompensated labor that the system requires but does not recognize. Process inefficiency, in this domain, is measured in lives.</w:t>
      </w:r>
    </w:p>
    <w:p>
      <w:pPr>
        <w:spacing w:after="220" w:before="80" w:line="340"/>
        <w:jc w:val="both"/>
      </w:pPr>
      <w:r>
        <w:rPr>
          <w:rFonts w:ascii="Arial" w:cs="Arial" w:eastAsia="Arial" w:hAnsi="Arial"/>
          <w:b w:val="false"/>
          <w:bCs w:val="false"/>
          <w:i w:val="false"/>
          <w:iCs w:val="false"/>
          <w:color w:val="1A1A1A"/>
          <w:sz w:val="22"/>
          <w:szCs w:val="22"/>
        </w:rPr>
        <w:t xml:space="preserve">This expanded second edition has documented the full scope of that inefficiency and proposed a reform architecture designed not for theoretical completeness but for operational implementation. The eleven-item countermeasure portfolio is evidence-based, assigned to identified owners, linked to specific enforcement mechanisms, and sequenced in a three-generation MGPP that accounts for political feasibility and institutional resistance. The two novel Lean Six Sigma strategic tools — the Policy Deployment X-Matrix and the Multi-Generational Project Plan — provide an alignment and sequencing architecture that makes the reform strategy navigable for the multiple federal agencies, Congressional committees, and patient advocacy organizations that must coordinate to implement it.</w:t>
      </w:r>
    </w:p>
    <w:p>
      <w:pPr>
        <w:spacing w:after="220" w:before="80" w:line="340"/>
        <w:jc w:val="both"/>
      </w:pPr>
      <w:r>
        <w:rPr>
          <w:rFonts w:ascii="Arial" w:cs="Arial" w:eastAsia="Arial" w:hAnsi="Arial"/>
          <w:b w:val="false"/>
          <w:bCs w:val="false"/>
          <w:i w:val="false"/>
          <w:iCs w:val="false"/>
          <w:color w:val="1A1A1A"/>
          <w:sz w:val="22"/>
          <w:szCs w:val="22"/>
        </w:rPr>
        <w:t xml:space="preserve">The IOTA Model's launch on July 1, 2025, HRSA's February 2025 OOS directive, the 7.2 percent improvement in kidney discard rate, and the independent OPTN Board's first year of operation together represent the most concentrated period of structural reform in the transplant system's 40-year history. The infrastructure for transformation exists. The evidence base for what must change is comprehensive. The legislative vehicles for the highest-priority reforms are introduced and awaiting action. What has historically been missing — and what the Cold Ischemia Foundation exists to supply — is the structural independence, process discipline, and sustained accountability pressure that converts comprehensive reform proposals into implemented, enforced, and permanent policy change.</w:t>
      </w:r>
    </w:p>
    <w:p>
      <w:pPr>
        <w:spacing w:after="220" w:before="80" w:line="340"/>
        <w:jc w:val="both"/>
      </w:pPr>
      <w:r>
        <w:rPr>
          <w:rFonts w:ascii="Arial" w:cs="Arial" w:eastAsia="Arial" w:hAnsi="Arial"/>
          <w:b w:val="false"/>
          <w:bCs w:val="false"/>
          <w:i w:val="false"/>
          <w:iCs w:val="false"/>
          <w:color w:val="1A1A1A"/>
          <w:sz w:val="22"/>
          <w:szCs w:val="22"/>
        </w:rPr>
        <w:t xml:space="preserve">The Cold Ischemia Foundation submits this document in service of that work, in the conviction that patients, donors, and care partners deserve a system designed with their actual experience at the center — and that every day the system fails to implement known, evidence-based reforms, the cost is paid in lives, not in budget line items.</w:t>
      </w:r>
    </w:p>
    <w:p>
      <w:r>
        <w:br w:type="page"/>
      </w:r>
    </w:p>
    <w:p>
      <w:pPr>
        <w:pStyle w:val="Heading1"/>
        <w:pBdr>
          <w:bottom w:val="single" w:color="B8952A" w:sz="6"/>
        </w:pBdr>
        <w:spacing w:after="200" w:before="360" w:line="280"/>
        <w:jc w:val="left"/>
      </w:pPr>
      <w:r>
        <w:rPr>
          <w:rFonts w:ascii="Arial" w:cs="Arial" w:eastAsia="Arial" w:hAnsi="Arial"/>
          <w:b/>
          <w:bCs/>
          <w:i w:val="false"/>
          <w:iCs w:val="false"/>
          <w:color w:val="1B2A4A"/>
          <w:sz w:val="30"/>
          <w:szCs w:val="30"/>
        </w:rPr>
        <w:t xml:space="preserve">References</w:t>
      </w:r>
    </w:p>
    <w:p>
      <w:pPr>
        <w:spacing w:after="180" w:before="0" w:line="280"/>
        <w:ind w:left="720"/>
        <w:jc w:val="left"/>
      </w:pPr>
      <w:r>
        <w:rPr>
          <w:rFonts w:ascii="Arial" w:cs="Arial" w:eastAsia="Arial" w:hAnsi="Arial"/>
          <w:b w:val="false"/>
          <w:bCs w:val="false"/>
          <w:i w:val="false"/>
          <w:iCs w:val="false"/>
          <w:color w:val="1A1A1A"/>
          <w:sz w:val="18"/>
          <w:szCs w:val="18"/>
        </w:rPr>
        <w:t xml:space="preserve">Agence de la Biomedecine. (2024). Le rapport annuel 2023: Greffe renale. https://www.agence-biomedecine.fr</w:t>
      </w:r>
    </w:p>
    <w:p>
      <w:pPr>
        <w:spacing w:after="180" w:before="0" w:line="280"/>
        <w:ind w:left="720"/>
        <w:jc w:val="left"/>
      </w:pPr>
      <w:r>
        <w:rPr>
          <w:rFonts w:ascii="Arial" w:cs="Arial" w:eastAsia="Arial" w:hAnsi="Arial"/>
          <w:b w:val="false"/>
          <w:bCs w:val="false"/>
          <w:i w:val="false"/>
          <w:iCs w:val="false"/>
          <w:color w:val="1A1A1A"/>
          <w:sz w:val="18"/>
          <w:szCs w:val="18"/>
        </w:rPr>
        <w:t xml:space="preserve">American Kidney Fund. (2024). 2024 AKF Living Donor Protection Report Card. https://www.kidneyfund.org</w:t>
      </w:r>
    </w:p>
    <w:p>
      <w:pPr>
        <w:spacing w:after="180" w:before="0" w:line="280"/>
        <w:ind w:left="720"/>
        <w:jc w:val="left"/>
      </w:pPr>
      <w:r>
        <w:rPr>
          <w:rFonts w:ascii="Arial" w:cs="Arial" w:eastAsia="Arial" w:hAnsi="Arial"/>
          <w:b w:val="false"/>
          <w:bCs w:val="false"/>
          <w:i w:val="false"/>
          <w:iCs w:val="false"/>
          <w:color w:val="1A1A1A"/>
          <w:sz w:val="18"/>
          <w:szCs w:val="18"/>
        </w:rPr>
        <w:t xml:space="preserve">American Kidney Fund. (2026). Sixth annual Living Donor Protection Report Card. https://www.globenewswire.com/news-release/2026/05/07/3290257</w:t>
      </w:r>
    </w:p>
    <w:p>
      <w:pPr>
        <w:spacing w:after="180" w:before="0" w:line="280"/>
        <w:ind w:left="720"/>
        <w:jc w:val="left"/>
      </w:pPr>
      <w:r>
        <w:rPr>
          <w:rFonts w:ascii="Arial" w:cs="Arial" w:eastAsia="Arial" w:hAnsi="Arial"/>
          <w:b w:val="false"/>
          <w:bCs w:val="false"/>
          <w:i w:val="false"/>
          <w:iCs w:val="false"/>
          <w:color w:val="1A1A1A"/>
          <w:sz w:val="18"/>
          <w:szCs w:val="18"/>
        </w:rPr>
        <w:t xml:space="preserve">Antony, J., Sunder, M. V., Sreedharan, R., Chakraborty, A., &amp; Gunasekaran, A. (2018). A systematic review of Lean Six Sigma for the manufacturing industry. Business Process Management Journal, 24(6), 1502-1530.</w:t>
      </w:r>
    </w:p>
    <w:p>
      <w:pPr>
        <w:spacing w:after="180" w:before="0" w:line="280"/>
        <w:ind w:left="720"/>
        <w:jc w:val="left"/>
      </w:pPr>
      <w:r>
        <w:rPr>
          <w:rFonts w:ascii="Arial" w:cs="Arial" w:eastAsia="Arial" w:hAnsi="Arial"/>
          <w:b w:val="false"/>
          <w:bCs w:val="false"/>
          <w:i w:val="false"/>
          <w:iCs w:val="false"/>
          <w:color w:val="1A1A1A"/>
          <w:sz w:val="18"/>
          <w:szCs w:val="18"/>
        </w:rPr>
        <w:t xml:space="preserve">Australian and New Zealand Dialysis and Transplant Registry (ANZDATA). (2025). ANZDATA 47th annual report. https://www.anzdata.org.au</w:t>
      </w:r>
    </w:p>
    <w:p>
      <w:pPr>
        <w:spacing w:after="180" w:before="0" w:line="280"/>
        <w:ind w:left="720"/>
        <w:jc w:val="left"/>
      </w:pPr>
      <w:r>
        <w:rPr>
          <w:rFonts w:ascii="Arial" w:cs="Arial" w:eastAsia="Arial" w:hAnsi="Arial"/>
          <w:b w:val="false"/>
          <w:bCs w:val="false"/>
          <w:i w:val="false"/>
          <w:iCs w:val="false"/>
          <w:color w:val="1A1A1A"/>
          <w:sz w:val="18"/>
          <w:szCs w:val="18"/>
        </w:rPr>
        <w:t xml:space="preserve">Bradbrook, K., Klassen, D., Massie, A. B., &amp; Stewart, D. E. (2025). Does a changing donor pool explain the recent rise in the United States kidney nonuse rate? American Journal of Transplantation, 25(8), 1685-1695. https://doi.org/10.1016/j.ajt.2025.02.001</w:t>
      </w:r>
    </w:p>
    <w:p>
      <w:pPr>
        <w:spacing w:after="180" w:before="0" w:line="280"/>
        <w:ind w:left="720"/>
        <w:jc w:val="left"/>
      </w:pPr>
      <w:r>
        <w:rPr>
          <w:rFonts w:ascii="Arial" w:cs="Arial" w:eastAsia="Arial" w:hAnsi="Arial"/>
          <w:b w:val="false"/>
          <w:bCs w:val="false"/>
          <w:i w:val="false"/>
          <w:iCs w:val="false"/>
          <w:color w:val="1A1A1A"/>
          <w:sz w:val="18"/>
          <w:szCs w:val="18"/>
        </w:rPr>
        <w:t xml:space="preserve">Centers for Medicare &amp; Medicaid Services. (2020). Interoperability and patient access final rule (CMS-9115-F). https://www.cms.gov</w:t>
      </w:r>
    </w:p>
    <w:p>
      <w:pPr>
        <w:spacing w:after="180" w:before="0" w:line="280"/>
        <w:ind w:left="720"/>
        <w:jc w:val="left"/>
      </w:pPr>
      <w:r>
        <w:rPr>
          <w:rFonts w:ascii="Arial" w:cs="Arial" w:eastAsia="Arial" w:hAnsi="Arial"/>
          <w:b w:val="false"/>
          <w:bCs w:val="false"/>
          <w:i w:val="false"/>
          <w:iCs w:val="false"/>
          <w:color w:val="1A1A1A"/>
          <w:sz w:val="18"/>
          <w:szCs w:val="18"/>
        </w:rPr>
        <w:t xml:space="preserve">Centers for Medicare &amp; Medicaid Services. (2024, December 4). Medicare program: Increasing Organ Transplant Access (IOTA) Model [Final Rule]. Federal Register, 89 FR 96280.</w:t>
      </w:r>
    </w:p>
    <w:p>
      <w:pPr>
        <w:spacing w:after="180" w:before="0" w:line="280"/>
        <w:ind w:left="720"/>
        <w:jc w:val="left"/>
      </w:pPr>
      <w:r>
        <w:rPr>
          <w:rFonts w:ascii="Arial" w:cs="Arial" w:eastAsia="Arial" w:hAnsi="Arial"/>
          <w:b w:val="false"/>
          <w:bCs w:val="false"/>
          <w:i w:val="false"/>
          <w:iCs w:val="false"/>
          <w:color w:val="1A1A1A"/>
          <w:sz w:val="18"/>
          <w:szCs w:val="18"/>
        </w:rPr>
        <w:t xml:space="preserve">Centers for Medicare &amp; Medicaid Services. (2025). Increasing Organ Transplant Access (IOTA) Model. https://www.cms.gov/priorities/innovation/innovation-models/iota</w:t>
      </w:r>
    </w:p>
    <w:p>
      <w:pPr>
        <w:spacing w:after="180" w:before="0" w:line="280"/>
        <w:ind w:left="720"/>
        <w:jc w:val="left"/>
      </w:pPr>
      <w:r>
        <w:rPr>
          <w:rFonts w:ascii="Arial" w:cs="Arial" w:eastAsia="Arial" w:hAnsi="Arial"/>
          <w:b w:val="false"/>
          <w:bCs w:val="false"/>
          <w:i w:val="false"/>
          <w:iCs w:val="false"/>
          <w:color w:val="1A1A1A"/>
          <w:sz w:val="18"/>
          <w:szCs w:val="18"/>
        </w:rPr>
        <w:t xml:space="preserve">Centers for Medicare &amp; Medicaid Services. (2025, December 11). Medicare program: Alternative payment model updates and the IOTA Model [Proposed Rule]. Federal Register.</w:t>
      </w:r>
    </w:p>
    <w:p>
      <w:pPr>
        <w:spacing w:after="180" w:before="0" w:line="280"/>
        <w:ind w:left="720"/>
        <w:jc w:val="left"/>
      </w:pPr>
      <w:r>
        <w:rPr>
          <w:rFonts w:ascii="Arial" w:cs="Arial" w:eastAsia="Arial" w:hAnsi="Arial"/>
          <w:b w:val="false"/>
          <w:bCs w:val="false"/>
          <w:i w:val="false"/>
          <w:iCs w:val="false"/>
          <w:color w:val="1A1A1A"/>
          <w:sz w:val="18"/>
          <w:szCs w:val="18"/>
        </w:rPr>
        <w:t xml:space="preserve">Chertow, G. M., Johansen, K. L., Lew, N., Lazarus, J. M., &amp; Lowrie, E. G. (2011). Vintage, nutritional status, and survival in hemodialysis patients. Kidney International, 57(3), 1176-1181.</w:t>
      </w:r>
    </w:p>
    <w:p>
      <w:pPr>
        <w:spacing w:after="180" w:before="0" w:line="280"/>
        <w:ind w:left="720"/>
        <w:jc w:val="left"/>
      </w:pPr>
      <w:r>
        <w:rPr>
          <w:rFonts w:ascii="Arial" w:cs="Arial" w:eastAsia="Arial" w:hAnsi="Arial"/>
          <w:b w:val="false"/>
          <w:bCs w:val="false"/>
          <w:i w:val="false"/>
          <w:iCs w:val="false"/>
          <w:color w:val="1A1A1A"/>
          <w:sz w:val="18"/>
          <w:szCs w:val="18"/>
        </w:rPr>
        <w:t xml:space="preserve">Cojuc-Konigsberg, G., &amp; Chopra, B. (2025). Kidney machine perfusion is associated with improved long-term graft survival mediated by reduced delayed graft function. Artificial Organs. Advance online publication. https://doi.org/10.1111/aor.15066</w:t>
      </w:r>
    </w:p>
    <w:p>
      <w:pPr>
        <w:spacing w:after="180" w:before="0" w:line="280"/>
        <w:ind w:left="720"/>
        <w:jc w:val="left"/>
      </w:pPr>
      <w:r>
        <w:rPr>
          <w:rFonts w:ascii="Arial" w:cs="Arial" w:eastAsia="Arial" w:hAnsi="Arial"/>
          <w:b w:val="false"/>
          <w:bCs w:val="false"/>
          <w:i w:val="false"/>
          <w:iCs w:val="false"/>
          <w:color w:val="1A1A1A"/>
          <w:sz w:val="18"/>
          <w:szCs w:val="18"/>
        </w:rPr>
        <w:t xml:space="preserve">de Mast, J., &amp; Lokkerbol, J. (2012). An analysis of the Six Sigma DMAIC method. International Journal of Production Economics, 139(2), 604-614.</w:t>
      </w:r>
    </w:p>
    <w:p>
      <w:pPr>
        <w:spacing w:after="180" w:before="0" w:line="280"/>
        <w:ind w:left="720"/>
        <w:jc w:val="left"/>
      </w:pPr>
      <w:r>
        <w:rPr>
          <w:rFonts w:ascii="Arial" w:cs="Arial" w:eastAsia="Arial" w:hAnsi="Arial"/>
          <w:b w:val="false"/>
          <w:bCs w:val="false"/>
          <w:i w:val="false"/>
          <w:iCs w:val="false"/>
          <w:color w:val="1A1A1A"/>
          <w:sz w:val="18"/>
          <w:szCs w:val="18"/>
        </w:rPr>
        <w:t xml:space="preserve">Dew, M. A., &amp; Jacobs, C. L. (2012). Psychosocial and socioeconomic issues facing the living kidney donor. Advances in Chronic Kidney Disease, 19(4), 237-243.</w:t>
      </w:r>
    </w:p>
    <w:p>
      <w:pPr>
        <w:spacing w:after="180" w:before="0" w:line="280"/>
        <w:ind w:left="720"/>
        <w:jc w:val="left"/>
      </w:pPr>
      <w:r>
        <w:rPr>
          <w:rFonts w:ascii="Arial" w:cs="Arial" w:eastAsia="Arial" w:hAnsi="Arial"/>
          <w:b w:val="false"/>
          <w:bCs w:val="false"/>
          <w:i w:val="false"/>
          <w:iCs w:val="false"/>
          <w:color w:val="1A1A1A"/>
          <w:sz w:val="18"/>
          <w:szCs w:val="18"/>
        </w:rPr>
        <w:t xml:space="preserve">Foucher, Y., Lorent, M., Albano, L., Budde, K., Dantal, J., &amp; Dantan, E. (2022). A higher rate of living kidney donor graft failures in France compared to the Netherlands. Transplantation Direct, 8(12), e1401.</w:t>
      </w:r>
    </w:p>
    <w:p>
      <w:pPr>
        <w:spacing w:after="180" w:before="0" w:line="280"/>
        <w:ind w:left="720"/>
        <w:jc w:val="left"/>
      </w:pPr>
      <w:r>
        <w:rPr>
          <w:rFonts w:ascii="Arial" w:cs="Arial" w:eastAsia="Arial" w:hAnsi="Arial"/>
          <w:b w:val="false"/>
          <w:bCs w:val="false"/>
          <w:i w:val="false"/>
          <w:iCs w:val="false"/>
          <w:color w:val="1A1A1A"/>
          <w:sz w:val="18"/>
          <w:szCs w:val="18"/>
        </w:rPr>
        <w:t xml:space="preserve">Geerts, J. M., Kuis, D., Andreou, P., &amp; Van den Berg, B. (2022). Informal caregivers for patients with kidney failure: A systematic review. Journal of Renal Care, 48(3), 146-162.</w:t>
      </w:r>
    </w:p>
    <w:p>
      <w:pPr>
        <w:spacing w:after="180" w:before="0" w:line="280"/>
        <w:ind w:left="720"/>
        <w:jc w:val="left"/>
      </w:pPr>
      <w:r>
        <w:rPr>
          <w:rFonts w:ascii="Arial" w:cs="Arial" w:eastAsia="Arial" w:hAnsi="Arial"/>
          <w:b w:val="false"/>
          <w:bCs w:val="false"/>
          <w:i w:val="false"/>
          <w:iCs w:val="false"/>
          <w:color w:val="1A1A1A"/>
          <w:sz w:val="18"/>
          <w:szCs w:val="18"/>
        </w:rPr>
        <w:t xml:space="preserve">George, M. L. (2003). Lean Six Sigma for service. McGraw-Hill.</w:t>
      </w:r>
    </w:p>
    <w:p>
      <w:pPr>
        <w:spacing w:after="180" w:before="0" w:line="280"/>
        <w:ind w:left="720"/>
        <w:jc w:val="left"/>
      </w:pPr>
      <w:r>
        <w:rPr>
          <w:rFonts w:ascii="Arial" w:cs="Arial" w:eastAsia="Arial" w:hAnsi="Arial"/>
          <w:b w:val="false"/>
          <w:bCs w:val="false"/>
          <w:i w:val="false"/>
          <w:iCs w:val="false"/>
          <w:color w:val="1A1A1A"/>
          <w:sz w:val="18"/>
          <w:szCs w:val="18"/>
        </w:rPr>
        <w:t xml:space="preserve">Gordon, E. J., Lee, J., Kang, R., Uriarte, J., &amp; Caicedo, J. C. (2024). Disparities persist among Hispanic patients. Transplantation Direct, 10(3), e1595.</w:t>
      </w:r>
    </w:p>
    <w:p>
      <w:pPr>
        <w:spacing w:after="180" w:before="0" w:line="280"/>
        <w:ind w:left="720"/>
        <w:jc w:val="left"/>
      </w:pPr>
      <w:r>
        <w:rPr>
          <w:rFonts w:ascii="Arial" w:cs="Arial" w:eastAsia="Arial" w:hAnsi="Arial"/>
          <w:b w:val="false"/>
          <w:bCs w:val="false"/>
          <w:i w:val="false"/>
          <w:iCs w:val="false"/>
          <w:color w:val="1A1A1A"/>
          <w:sz w:val="18"/>
          <w:szCs w:val="18"/>
        </w:rPr>
        <w:t xml:space="preserve">Hays, R., LaPointe Rudow, D., Dew, M. A., Taler, S. J., Spicer, H., &amp; Mandelbrot, D. A. (2019). Best practices to optimize utilization of the National Living Donor Assistance Center. American Journal of Transplantation, 19(11), 2986-2994.</w:t>
      </w:r>
    </w:p>
    <w:p>
      <w:pPr>
        <w:spacing w:after="180" w:before="0" w:line="280"/>
        <w:ind w:left="720"/>
        <w:jc w:val="left"/>
      </w:pPr>
      <w:r>
        <w:rPr>
          <w:rFonts w:ascii="Arial" w:cs="Arial" w:eastAsia="Arial" w:hAnsi="Arial"/>
          <w:b w:val="false"/>
          <w:bCs w:val="false"/>
          <w:i w:val="false"/>
          <w:iCs w:val="false"/>
          <w:color w:val="1A1A1A"/>
          <w:sz w:val="18"/>
          <w:szCs w:val="18"/>
        </w:rPr>
        <w:t xml:space="preserve">Health Affairs Forefront. (2025, May 22). Reforming out-of-sequence allocation: A turning point for organ transplant policy. https://www.healthaffairs.org</w:t>
      </w:r>
    </w:p>
    <w:p>
      <w:pPr>
        <w:spacing w:after="180" w:before="0" w:line="280"/>
        <w:ind w:left="720"/>
        <w:jc w:val="left"/>
      </w:pPr>
      <w:r>
        <w:rPr>
          <w:rFonts w:ascii="Arial" w:cs="Arial" w:eastAsia="Arial" w:hAnsi="Arial"/>
          <w:b w:val="false"/>
          <w:bCs w:val="false"/>
          <w:i w:val="false"/>
          <w:iCs w:val="false"/>
          <w:color w:val="1A1A1A"/>
          <w:sz w:val="18"/>
          <w:szCs w:val="18"/>
        </w:rPr>
        <w:t xml:space="preserve">Health Resources and Services Administration. (2022). Organ procurement organization conditions for coverage final rule. https://www.hrsa.gov</w:t>
      </w:r>
    </w:p>
    <w:p>
      <w:pPr>
        <w:spacing w:after="180" w:before="0" w:line="280"/>
        <w:ind w:left="720"/>
        <w:jc w:val="left"/>
      </w:pPr>
      <w:r>
        <w:rPr>
          <w:rFonts w:ascii="Arial" w:cs="Arial" w:eastAsia="Arial" w:hAnsi="Arial"/>
          <w:b w:val="false"/>
          <w:bCs w:val="false"/>
          <w:i w:val="false"/>
          <w:iCs w:val="false"/>
          <w:color w:val="1A1A1A"/>
          <w:sz w:val="18"/>
          <w:szCs w:val="18"/>
        </w:rPr>
        <w:t xml:space="preserve">Health Resources and Services Administration. (2023). HRSA announces OPTN modernization initiative. https://www.hrsa.gov/about/news/press-releases/organ-procurement-transplantation-network-modernization-initiative</w:t>
      </w:r>
    </w:p>
    <w:p>
      <w:pPr>
        <w:spacing w:after="180" w:before="0" w:line="280"/>
        <w:ind w:left="720"/>
        <w:jc w:val="left"/>
      </w:pPr>
      <w:r>
        <w:rPr>
          <w:rFonts w:ascii="Arial" w:cs="Arial" w:eastAsia="Arial" w:hAnsi="Arial"/>
          <w:b w:val="false"/>
          <w:bCs w:val="false"/>
          <w:i w:val="false"/>
          <w:iCs w:val="false"/>
          <w:color w:val="1A1A1A"/>
          <w:sz w:val="18"/>
          <w:szCs w:val="18"/>
        </w:rPr>
        <w:t xml:space="preserve">Health Resources and Services Administration. (2025a). HRSA formal directive to OPTN regarding out-of-sequence allocation (February 21, 2025). https://www.hrsa.gov</w:t>
      </w:r>
    </w:p>
    <w:p>
      <w:pPr>
        <w:spacing w:after="180" w:before="0" w:line="280"/>
        <w:ind w:left="720"/>
        <w:jc w:val="left"/>
      </w:pPr>
      <w:r>
        <w:rPr>
          <w:rFonts w:ascii="Arial" w:cs="Arial" w:eastAsia="Arial" w:hAnsi="Arial"/>
          <w:b w:val="false"/>
          <w:bCs w:val="false"/>
          <w:i w:val="false"/>
          <w:iCs w:val="false"/>
          <w:color w:val="1A1A1A"/>
          <w:sz w:val="18"/>
          <w:szCs w:val="18"/>
        </w:rPr>
        <w:t xml:space="preserve">Health Resources and Services Administration. (2025b). HRSA announces new OPTN Board of Directors. https://www.hrsa.gov/about/news/press-releases/optn-new-board</w:t>
      </w:r>
    </w:p>
    <w:p>
      <w:pPr>
        <w:spacing w:after="180" w:before="0" w:line="280"/>
        <w:ind w:left="720"/>
        <w:jc w:val="left"/>
      </w:pPr>
      <w:r>
        <w:rPr>
          <w:rFonts w:ascii="Arial" w:cs="Arial" w:eastAsia="Arial" w:hAnsi="Arial"/>
          <w:b w:val="false"/>
          <w:bCs w:val="false"/>
          <w:i w:val="false"/>
          <w:iCs w:val="false"/>
          <w:color w:val="1A1A1A"/>
          <w:sz w:val="18"/>
          <w:szCs w:val="18"/>
        </w:rPr>
        <w:t xml:space="preserve">Health Resources and Services Administration. (2026). A year in review: Advancing OPTN modernization. https://www.hrsa.gov/optn-modernization</w:t>
      </w:r>
    </w:p>
    <w:p>
      <w:pPr>
        <w:spacing w:after="180" w:before="0" w:line="280"/>
        <w:ind w:left="720"/>
        <w:jc w:val="left"/>
      </w:pPr>
      <w:r>
        <w:rPr>
          <w:rFonts w:ascii="Arial" w:cs="Arial" w:eastAsia="Arial" w:hAnsi="Arial"/>
          <w:b w:val="false"/>
          <w:bCs w:val="false"/>
          <w:i w:val="false"/>
          <w:iCs w:val="false"/>
          <w:color w:val="1A1A1A"/>
          <w:sz w:val="18"/>
          <w:szCs w:val="18"/>
        </w:rPr>
        <w:t xml:space="preserve">Husain, S. A., Yu, M. E., King, K. L., Adler, J. T., Schold, J. D., &amp; Mohan, S. (2023). Disparities in kidney transplant waitlisting among young patients. JAMA Internal Medicine, 183(11), 1238-1246.</w:t>
      </w:r>
    </w:p>
    <w:p>
      <w:pPr>
        <w:spacing w:after="180" w:before="0" w:line="280"/>
        <w:ind w:left="720"/>
        <w:jc w:val="left"/>
      </w:pPr>
      <w:r>
        <w:rPr>
          <w:rFonts w:ascii="Arial" w:cs="Arial" w:eastAsia="Arial" w:hAnsi="Arial"/>
          <w:b w:val="false"/>
          <w:bCs w:val="false"/>
          <w:i w:val="false"/>
          <w:iCs w:val="false"/>
          <w:color w:val="1A1A1A"/>
          <w:sz w:val="18"/>
          <w:szCs w:val="18"/>
        </w:rPr>
        <w:t xml:space="preserve">Kaufman, D. M., Perkins, J. D., Bakthavatsalam, R., Leca, N., &amp; Sibulesky, L. (2026). The evolving kidney donor pool shaping outcomes in graft survival. Journal of Transplantation, 2026, Article 3352344.</w:t>
      </w:r>
    </w:p>
    <w:p>
      <w:pPr>
        <w:spacing w:after="180" w:before="0" w:line="280"/>
        <w:ind w:left="720"/>
        <w:jc w:val="left"/>
      </w:pPr>
      <w:r>
        <w:rPr>
          <w:rFonts w:ascii="Arial" w:cs="Arial" w:eastAsia="Arial" w:hAnsi="Arial"/>
          <w:b w:val="false"/>
          <w:bCs w:val="false"/>
          <w:i w:val="false"/>
          <w:iCs w:val="false"/>
          <w:color w:val="1A1A1A"/>
          <w:sz w:val="18"/>
          <w:szCs w:val="18"/>
        </w:rPr>
        <w:t xml:space="preserve">Kidney Transplant Collaborative. (2025, December). Losing transplants for all the wrong reasons. https://kidneytransplantcollaborative.com</w:t>
      </w:r>
    </w:p>
    <w:p>
      <w:pPr>
        <w:spacing w:after="180" w:before="0" w:line="280"/>
        <w:ind w:left="720"/>
        <w:jc w:val="left"/>
      </w:pPr>
      <w:r>
        <w:rPr>
          <w:rFonts w:ascii="Arial" w:cs="Arial" w:eastAsia="Arial" w:hAnsi="Arial"/>
          <w:b w:val="false"/>
          <w:bCs w:val="false"/>
          <w:i w:val="false"/>
          <w:iCs w:val="false"/>
          <w:color w:val="1A1A1A"/>
          <w:sz w:val="18"/>
          <w:szCs w:val="18"/>
        </w:rPr>
        <w:t xml:space="preserve">Klarenbach, S., Gill, J. S., Knoll, G., Caulfield, T., Boudville, N., &amp; Prasad, G. V. R. (2014). Economic consequences incurred by living kidney donors. American Journal of Transplantation, 14(4), 916-922.</w:t>
      </w:r>
    </w:p>
    <w:p>
      <w:pPr>
        <w:spacing w:after="180" w:before="0" w:line="280"/>
        <w:ind w:left="720"/>
        <w:jc w:val="left"/>
      </w:pPr>
      <w:r>
        <w:rPr>
          <w:rFonts w:ascii="Arial" w:cs="Arial" w:eastAsia="Arial" w:hAnsi="Arial"/>
          <w:b w:val="false"/>
          <w:bCs w:val="false"/>
          <w:i w:val="false"/>
          <w:iCs w:val="false"/>
          <w:color w:val="1A1A1A"/>
          <w:sz w:val="18"/>
          <w:szCs w:val="18"/>
        </w:rPr>
        <w:t xml:space="preserve">Kotter, J. P. (1996). Leading change. Harvard Business School Press.</w:t>
      </w:r>
    </w:p>
    <w:p>
      <w:pPr>
        <w:spacing w:after="180" w:before="0" w:line="280"/>
        <w:ind w:left="720"/>
        <w:jc w:val="left"/>
      </w:pPr>
      <w:r>
        <w:rPr>
          <w:rFonts w:ascii="Arial" w:cs="Arial" w:eastAsia="Arial" w:hAnsi="Arial"/>
          <w:b w:val="false"/>
          <w:bCs w:val="false"/>
          <w:i w:val="false"/>
          <w:iCs w:val="false"/>
          <w:color w:val="1A1A1A"/>
          <w:sz w:val="18"/>
          <w:szCs w:val="18"/>
        </w:rPr>
        <w:t xml:space="preserve">Lau, N. S., Ly, P., Westacott, R., Phipps-Green, A., &amp; Hibberd, A. D. (2023). Machine learning approaches to predict deceased donor kidney utilization. Clinical Transplantation, 37(4), e14897.</w:t>
      </w:r>
    </w:p>
    <w:p>
      <w:pPr>
        <w:spacing w:after="180" w:before="0" w:line="280"/>
        <w:ind w:left="720"/>
        <w:jc w:val="left"/>
      </w:pPr>
      <w:r>
        <w:rPr>
          <w:rFonts w:ascii="Arial" w:cs="Arial" w:eastAsia="Arial" w:hAnsi="Arial"/>
          <w:b w:val="false"/>
          <w:bCs w:val="false"/>
          <w:i w:val="false"/>
          <w:iCs w:val="false"/>
          <w:color w:val="1A1A1A"/>
          <w:sz w:val="18"/>
          <w:szCs w:val="18"/>
        </w:rPr>
        <w:t xml:space="preserve">Lefaucheur, C., Louis, K., Morris, A. B., Taupin, J. L., Nickerson, P., &amp; Tambur, A. R. (2023). Clinical recommendations for posttransplant assessment of anti-HLA donor-specific antibodies. American Journal of Transplantation, 23(9), 1326-1345.</w:t>
      </w:r>
    </w:p>
    <w:p>
      <w:pPr>
        <w:spacing w:after="180" w:before="0" w:line="280"/>
        <w:ind w:left="720"/>
        <w:jc w:val="left"/>
      </w:pPr>
      <w:r>
        <w:rPr>
          <w:rFonts w:ascii="Arial" w:cs="Arial" w:eastAsia="Arial" w:hAnsi="Arial"/>
          <w:b w:val="false"/>
          <w:bCs w:val="false"/>
          <w:i w:val="false"/>
          <w:iCs w:val="false"/>
          <w:color w:val="1A1A1A"/>
          <w:sz w:val="18"/>
          <w:szCs w:val="18"/>
        </w:rPr>
        <w:t xml:space="preserve">Lentine, K. L., Smith, J. M., Lyden, G. R., Miller, J. M., Booker, S. E., Dolan, T. G., Temple, K. R., Weiss, S., Handarova, D., Israni, A. K., &amp; Snyder, J. J. (2025). OPTN/SRTR 2023 annual data report: Kidney. American Journal of Transplantation, 25(2), S22-S137.</w:t>
      </w:r>
    </w:p>
    <w:p>
      <w:pPr>
        <w:spacing w:after="180" w:before="0" w:line="280"/>
        <w:ind w:left="720"/>
        <w:jc w:val="left"/>
      </w:pPr>
      <w:r>
        <w:rPr>
          <w:rFonts w:ascii="Arial" w:cs="Arial" w:eastAsia="Arial" w:hAnsi="Arial"/>
          <w:b w:val="false"/>
          <w:bCs w:val="false"/>
          <w:i w:val="false"/>
          <w:iCs w:val="false"/>
          <w:color w:val="1A1A1A"/>
          <w:sz w:val="18"/>
          <w:szCs w:val="18"/>
        </w:rPr>
        <w:t xml:space="preserve">Lentine, K. L., Smith, J. M., Lyden, G. R., Miller, J. M., Dolan, T. G., Bradbrook, K., Larkin, L., Temple, K., Handarova, D. K., Weiss, S., Israni, A. K., &amp; Snyder, J. J. (2024). OPTN/SRTR 2022 annual data report: Kidney. American Journal of Transplantation, 24(2 Suppl 1), S19-S118.</w:t>
      </w:r>
    </w:p>
    <w:p>
      <w:pPr>
        <w:spacing w:after="180" w:before="0" w:line="280"/>
        <w:ind w:left="720"/>
        <w:jc w:val="left"/>
      </w:pPr>
      <w:r>
        <w:rPr>
          <w:rFonts w:ascii="Arial" w:cs="Arial" w:eastAsia="Arial" w:hAnsi="Arial"/>
          <w:b w:val="false"/>
          <w:bCs w:val="false"/>
          <w:i w:val="false"/>
          <w:iCs w:val="false"/>
          <w:color w:val="1A1A1A"/>
          <w:sz w:val="18"/>
          <w:szCs w:val="18"/>
        </w:rPr>
        <w:t xml:space="preserve">LifeCenter Northwest. (2025, August). CMS performance report: Flawed metrics need reform. https://lcnw.org/2025/06/cms-performance-report-flawed-metrics-need-reform</w:t>
      </w:r>
    </w:p>
    <w:p>
      <w:pPr>
        <w:spacing w:after="180" w:before="0" w:line="280"/>
        <w:ind w:left="720"/>
        <w:jc w:val="left"/>
      </w:pPr>
      <w:r>
        <w:rPr>
          <w:rFonts w:ascii="Arial" w:cs="Arial" w:eastAsia="Arial" w:hAnsi="Arial"/>
          <w:b w:val="false"/>
          <w:bCs w:val="false"/>
          <w:i w:val="false"/>
          <w:iCs w:val="false"/>
          <w:color w:val="1A1A1A"/>
          <w:sz w:val="18"/>
          <w:szCs w:val="18"/>
        </w:rPr>
        <w:t xml:space="preserve">Lum, E. L., Homkrailas, P., Abdalla, B., Danovitch, G. M., &amp; Bunnapradist, S. (2023). Cold ischemia time, kidney donor profile index, and kidney transplant outcomes. Kidney Medicine, 5(1), 100570.</w:t>
      </w:r>
    </w:p>
    <w:p>
      <w:pPr>
        <w:spacing w:after="180" w:before="0" w:line="280"/>
        <w:ind w:left="720"/>
        <w:jc w:val="left"/>
      </w:pPr>
      <w:r>
        <w:rPr>
          <w:rFonts w:ascii="Arial" w:cs="Arial" w:eastAsia="Arial" w:hAnsi="Arial"/>
          <w:b w:val="false"/>
          <w:bCs w:val="false"/>
          <w:i w:val="false"/>
          <w:iCs w:val="false"/>
          <w:color w:val="1A1A1A"/>
          <w:sz w:val="18"/>
          <w:szCs w:val="18"/>
        </w:rPr>
        <w:t xml:space="preserve">Mader, D. P. (2007). How to identify and select Lean Six Sigma projects. Quality Progress, 40(7), 58-60.</w:t>
      </w:r>
    </w:p>
    <w:p>
      <w:pPr>
        <w:spacing w:after="180" w:before="0" w:line="280"/>
        <w:ind w:left="720"/>
        <w:jc w:val="left"/>
      </w:pPr>
      <w:r>
        <w:rPr>
          <w:rFonts w:ascii="Arial" w:cs="Arial" w:eastAsia="Arial" w:hAnsi="Arial"/>
          <w:b w:val="false"/>
          <w:bCs w:val="false"/>
          <w:i w:val="false"/>
          <w:iCs w:val="false"/>
          <w:color w:val="1A1A1A"/>
          <w:sz w:val="18"/>
          <w:szCs w:val="18"/>
        </w:rPr>
        <w:t xml:space="preserve">Matesanz, R., Dominguez-Gil, B., Coll, E., de la Rosa, G., &amp; Marazuela, R. (2017). Spanish experience as a leading country: What kind of measures were taken? Transplant International, 24(4), 333-343.</w:t>
      </w:r>
    </w:p>
    <w:p>
      <w:pPr>
        <w:spacing w:after="180" w:before="0" w:line="280"/>
        <w:ind w:left="720"/>
        <w:jc w:val="left"/>
      </w:pPr>
      <w:r>
        <w:rPr>
          <w:rFonts w:ascii="Arial" w:cs="Arial" w:eastAsia="Arial" w:hAnsi="Arial"/>
          <w:b w:val="false"/>
          <w:bCs w:val="false"/>
          <w:i w:val="false"/>
          <w:iCs w:val="false"/>
          <w:color w:val="1A1A1A"/>
          <w:sz w:val="18"/>
          <w:szCs w:val="18"/>
        </w:rPr>
        <w:t xml:space="preserve">McKenney, C., Torabi, J., Todd, R., Akhtar, M. Z., Tedla, F. M., Shapiro, R., Florman, S. S., Holzner, M. L., &amp; van Leeuwen, L. L. (2024). Wasted potential: Decoding the trifecta of donor kidney shortage, underutilization, and rising discard rates. Transplantology, 5(2), 51-64.</w:t>
      </w:r>
    </w:p>
    <w:p>
      <w:pPr>
        <w:spacing w:after="180" w:before="0" w:line="280"/>
        <w:ind w:left="720"/>
        <w:jc w:val="left"/>
      </w:pPr>
      <w:r>
        <w:rPr>
          <w:rFonts w:ascii="Arial" w:cs="Arial" w:eastAsia="Arial" w:hAnsi="Arial"/>
          <w:b w:val="false"/>
          <w:bCs w:val="false"/>
          <w:i w:val="false"/>
          <w:iCs w:val="false"/>
          <w:color w:val="1A1A1A"/>
          <w:sz w:val="18"/>
          <w:szCs w:val="18"/>
        </w:rPr>
        <w:t xml:space="preserve">Mitchell, A., Bhaskaran, S., Hasan, O., Segev, D. L., &amp; McAdams-DeMarco, M. A. (2024). Predicting kidney transplant outcomes with machine learning. American Journal of Kidney Diseases, 83(1), 93-105.</w:t>
      </w:r>
    </w:p>
    <w:p>
      <w:pPr>
        <w:spacing w:after="180" w:before="0" w:line="280"/>
        <w:ind w:left="720"/>
        <w:jc w:val="left"/>
      </w:pPr>
      <w:r>
        <w:rPr>
          <w:rFonts w:ascii="Arial" w:cs="Arial" w:eastAsia="Arial" w:hAnsi="Arial"/>
          <w:b w:val="false"/>
          <w:bCs w:val="false"/>
          <w:i w:val="false"/>
          <w:iCs w:val="false"/>
          <w:color w:val="1A1A1A"/>
          <w:sz w:val="18"/>
          <w:szCs w:val="18"/>
        </w:rPr>
        <w:t xml:space="preserve">Montgomery, D. C. (2020). Introduction to statistical quality control (8th ed.). Wiley.</w:t>
      </w:r>
    </w:p>
    <w:p>
      <w:pPr>
        <w:spacing w:after="180" w:before="0" w:line="280"/>
        <w:ind w:left="720"/>
        <w:jc w:val="left"/>
      </w:pPr>
      <w:r>
        <w:rPr>
          <w:rFonts w:ascii="Arial" w:cs="Arial" w:eastAsia="Arial" w:hAnsi="Arial"/>
          <w:b w:val="false"/>
          <w:bCs w:val="false"/>
          <w:i w:val="false"/>
          <w:iCs w:val="false"/>
          <w:color w:val="1A1A1A"/>
          <w:sz w:val="18"/>
          <w:szCs w:val="18"/>
        </w:rPr>
        <w:t xml:space="preserve">National Bureau of Economic Research. (2025, December). Consequences of organ procurement reform. NBER Digest. https://www.nber.org/digest/202512</w:t>
      </w:r>
    </w:p>
    <w:p>
      <w:pPr>
        <w:spacing w:after="180" w:before="0" w:line="280"/>
        <w:ind w:left="720"/>
        <w:jc w:val="left"/>
      </w:pPr>
      <w:r>
        <w:rPr>
          <w:rFonts w:ascii="Arial" w:cs="Arial" w:eastAsia="Arial" w:hAnsi="Arial"/>
          <w:b w:val="false"/>
          <w:bCs w:val="false"/>
          <w:i w:val="false"/>
          <w:iCs w:val="false"/>
          <w:color w:val="1A1A1A"/>
          <w:sz w:val="18"/>
          <w:szCs w:val="18"/>
        </w:rPr>
        <w:t xml:space="preserve">National Kidney Foundation. (2024). Expanding living donation: Understanding key legislation. https://www.kidney.org/news-stories/advocacy</w:t>
      </w:r>
    </w:p>
    <w:p>
      <w:pPr>
        <w:spacing w:after="180" w:before="0" w:line="280"/>
        <w:ind w:left="720"/>
        <w:jc w:val="left"/>
      </w:pPr>
      <w:r>
        <w:rPr>
          <w:rFonts w:ascii="Arial" w:cs="Arial" w:eastAsia="Arial" w:hAnsi="Arial"/>
          <w:b w:val="false"/>
          <w:bCs w:val="false"/>
          <w:i w:val="false"/>
          <w:iCs w:val="false"/>
          <w:color w:val="1A1A1A"/>
          <w:sz w:val="18"/>
          <w:szCs w:val="18"/>
        </w:rPr>
        <w:t xml:space="preserve">National Kidney Registry. (2023). Donor Shield and NLDAC: Who offers the most support? https://www.kidneyregistry.com</w:t>
      </w:r>
    </w:p>
    <w:p>
      <w:pPr>
        <w:spacing w:after="180" w:before="0" w:line="280"/>
        <w:ind w:left="720"/>
        <w:jc w:val="left"/>
      </w:pPr>
      <w:r>
        <w:rPr>
          <w:rFonts w:ascii="Arial" w:cs="Arial" w:eastAsia="Arial" w:hAnsi="Arial"/>
          <w:b w:val="false"/>
          <w:bCs w:val="false"/>
          <w:i w:val="false"/>
          <w:iCs w:val="false"/>
          <w:color w:val="1A1A1A"/>
          <w:sz w:val="18"/>
          <w:szCs w:val="18"/>
        </w:rPr>
        <w:t xml:space="preserve">NHS Blood and Transplant. (2024). Transplant activity in the UK: 2022-2023 report. https://www.nhsbt.nhs.uk</w:t>
      </w:r>
    </w:p>
    <w:p>
      <w:pPr>
        <w:spacing w:after="180" w:before="0" w:line="280"/>
        <w:ind w:left="720"/>
        <w:jc w:val="left"/>
      </w:pPr>
      <w:r>
        <w:rPr>
          <w:rFonts w:ascii="Arial" w:cs="Arial" w:eastAsia="Arial" w:hAnsi="Arial"/>
          <w:b w:val="false"/>
          <w:bCs w:val="false"/>
          <w:i w:val="false"/>
          <w:iCs w:val="false"/>
          <w:color w:val="1A1A1A"/>
          <w:sz w:val="18"/>
          <w:szCs w:val="18"/>
        </w:rPr>
        <w:t xml:space="preserve">Obermeyer, Z., Powers, B., Vogeli, C., &amp; Mullainathan, S. (2019). Dissecting racial bias in an algorithm used to manage the health of populations. Science, 366(6464), 447-453.</w:t>
      </w:r>
    </w:p>
    <w:p>
      <w:pPr>
        <w:spacing w:after="180" w:before="0" w:line="280"/>
        <w:ind w:left="720"/>
        <w:jc w:val="left"/>
      </w:pPr>
      <w:r>
        <w:rPr>
          <w:rFonts w:ascii="Arial" w:cs="Arial" w:eastAsia="Arial" w:hAnsi="Arial"/>
          <w:b w:val="false"/>
          <w:bCs w:val="false"/>
          <w:i w:val="false"/>
          <w:iCs w:val="false"/>
          <w:color w:val="1A1A1A"/>
          <w:sz w:val="18"/>
          <w:szCs w:val="18"/>
        </w:rPr>
        <w:t xml:space="preserve">Ohno, T. (1988). Toyota production system: Beyond large-scale production. Productivity Press.</w:t>
      </w:r>
    </w:p>
    <w:p>
      <w:pPr>
        <w:spacing w:after="180" w:before="0" w:line="280"/>
        <w:ind w:left="720"/>
        <w:jc w:val="left"/>
      </w:pPr>
      <w:r>
        <w:rPr>
          <w:rFonts w:ascii="Arial" w:cs="Arial" w:eastAsia="Arial" w:hAnsi="Arial"/>
          <w:b w:val="false"/>
          <w:bCs w:val="false"/>
          <w:i w:val="false"/>
          <w:iCs w:val="false"/>
          <w:color w:val="1A1A1A"/>
          <w:sz w:val="18"/>
          <w:szCs w:val="18"/>
        </w:rPr>
        <w:t xml:space="preserve">OPTN/SRTR. (2023). 2022 OPTN/SRTR annual data report. https://srtr.transplant.hrsa.gov</w:t>
      </w:r>
    </w:p>
    <w:p>
      <w:pPr>
        <w:spacing w:after="180" w:before="0" w:line="280"/>
        <w:ind w:left="720"/>
        <w:jc w:val="left"/>
      </w:pPr>
      <w:r>
        <w:rPr>
          <w:rFonts w:ascii="Arial" w:cs="Arial" w:eastAsia="Arial" w:hAnsi="Arial"/>
          <w:b w:val="false"/>
          <w:bCs w:val="false"/>
          <w:i w:val="false"/>
          <w:iCs w:val="false"/>
          <w:color w:val="1A1A1A"/>
          <w:sz w:val="18"/>
          <w:szCs w:val="18"/>
        </w:rPr>
        <w:t xml:space="preserve">Organizacion Nacional de Trasplantes. (2025). Actividad de donacion y trasplante: Espana 2024. https://www.ont.es</w:t>
      </w:r>
    </w:p>
    <w:p>
      <w:pPr>
        <w:spacing w:after="180" w:before="0" w:line="280"/>
        <w:ind w:left="720"/>
        <w:jc w:val="left"/>
      </w:pPr>
      <w:r>
        <w:rPr>
          <w:rFonts w:ascii="Arial" w:cs="Arial" w:eastAsia="Arial" w:hAnsi="Arial"/>
          <w:b w:val="false"/>
          <w:bCs w:val="false"/>
          <w:i w:val="false"/>
          <w:iCs w:val="false"/>
          <w:color w:val="1A1A1A"/>
          <w:sz w:val="18"/>
          <w:szCs w:val="18"/>
        </w:rPr>
        <w:t xml:space="preserve">Ozbay, E. Y., Tunç, S., &amp; Özaltın, O. Y. (2025). Incentives and performance in the U.S. organ donation system. NBER Working Paper. http://econweb.umd.edu/~ozbay/OPO2.pdf</w:t>
      </w:r>
    </w:p>
    <w:p>
      <w:pPr>
        <w:spacing w:after="180" w:before="0" w:line="280"/>
        <w:ind w:left="720"/>
        <w:jc w:val="left"/>
      </w:pPr>
      <w:r>
        <w:rPr>
          <w:rFonts w:ascii="Arial" w:cs="Arial" w:eastAsia="Arial" w:hAnsi="Arial"/>
          <w:b w:val="false"/>
          <w:bCs w:val="false"/>
          <w:i w:val="false"/>
          <w:iCs w:val="false"/>
          <w:color w:val="1A1A1A"/>
          <w:sz w:val="18"/>
          <w:szCs w:val="18"/>
        </w:rPr>
        <w:t xml:space="preserve">Parke, J. A. (2026a). A Lean Six Sigma methodology for transformation of the United States solid organ transplant system (Version 1.0). Cold Ischemia Foundation.</w:t>
      </w:r>
    </w:p>
    <w:p>
      <w:pPr>
        <w:spacing w:after="180" w:before="0" w:line="280"/>
        <w:ind w:left="720"/>
        <w:jc w:val="left"/>
      </w:pPr>
      <w:r>
        <w:rPr>
          <w:rFonts w:ascii="Arial" w:cs="Arial" w:eastAsia="Arial" w:hAnsi="Arial"/>
          <w:b w:val="false"/>
          <w:bCs w:val="false"/>
          <w:i w:val="false"/>
          <w:iCs w:val="false"/>
          <w:color w:val="1A1A1A"/>
          <w:sz w:val="18"/>
          <w:szCs w:val="18"/>
        </w:rPr>
        <w:t xml:space="preserve">Parke, J. A. (2026b). The intelligence gap: AI-psychosocial integration for living donor optimization. Cold Ischemia Foundation.</w:t>
      </w:r>
    </w:p>
    <w:p>
      <w:pPr>
        <w:spacing w:after="180" w:before="0" w:line="280"/>
        <w:ind w:left="720"/>
        <w:jc w:val="left"/>
      </w:pPr>
      <w:r>
        <w:rPr>
          <w:rFonts w:ascii="Arial" w:cs="Arial" w:eastAsia="Arial" w:hAnsi="Arial"/>
          <w:b w:val="false"/>
          <w:bCs w:val="false"/>
          <w:i w:val="false"/>
          <w:iCs w:val="false"/>
          <w:color w:val="1A1A1A"/>
          <w:sz w:val="18"/>
          <w:szCs w:val="18"/>
        </w:rPr>
        <w:t xml:space="preserve">Parke, J. A., &amp; Parke, M. (2026). Collateral damage: How the American healthcare system exploits the care partners of the chronically ill. Cold Ischemia Foundation Publishing.</w:t>
      </w:r>
    </w:p>
    <w:p>
      <w:pPr>
        <w:spacing w:after="180" w:before="0" w:line="280"/>
        <w:ind w:left="720"/>
        <w:jc w:val="left"/>
      </w:pPr>
      <w:r>
        <w:rPr>
          <w:rFonts w:ascii="Arial" w:cs="Arial" w:eastAsia="Arial" w:hAnsi="Arial"/>
          <w:b w:val="false"/>
          <w:bCs w:val="false"/>
          <w:i w:val="false"/>
          <w:iCs w:val="false"/>
          <w:color w:val="1A1A1A"/>
          <w:sz w:val="18"/>
          <w:szCs w:val="18"/>
        </w:rPr>
        <w:t xml:space="preserve">Patzer, R. E. (2024). Bridging racial disparities in access to kidney transplantation. Journal of the American Society of Nephrology, 35(7), 959-961.</w:t>
      </w:r>
    </w:p>
    <w:p>
      <w:pPr>
        <w:spacing w:after="180" w:before="0" w:line="280"/>
        <w:ind w:left="720"/>
        <w:jc w:val="left"/>
      </w:pPr>
      <w:r>
        <w:rPr>
          <w:rFonts w:ascii="Arial" w:cs="Arial" w:eastAsia="Arial" w:hAnsi="Arial"/>
          <w:b w:val="false"/>
          <w:bCs w:val="false"/>
          <w:i w:val="false"/>
          <w:iCs w:val="false"/>
          <w:color w:val="1A1A1A"/>
          <w:sz w:val="18"/>
          <w:szCs w:val="18"/>
        </w:rPr>
        <w:t xml:space="preserve">Patzer, R. E., Purnell, T. S., &amp; Basu, M. (2023). Socioeconomic disparities in kidney transplantation. Clinical Journal of the American Society of Nephrology, 18(4), 554-564.</w:t>
      </w:r>
    </w:p>
    <w:p>
      <w:pPr>
        <w:spacing w:after="180" w:before="0" w:line="280"/>
        <w:ind w:left="720"/>
        <w:jc w:val="left"/>
      </w:pPr>
      <w:r>
        <w:rPr>
          <w:rFonts w:ascii="Arial" w:cs="Arial" w:eastAsia="Arial" w:hAnsi="Arial"/>
          <w:b w:val="false"/>
          <w:bCs w:val="false"/>
          <w:i w:val="false"/>
          <w:iCs w:val="false"/>
          <w:color w:val="1A1A1A"/>
          <w:sz w:val="18"/>
          <w:szCs w:val="18"/>
        </w:rPr>
        <w:t xml:space="preserve">Prestalia, C. A., Gander, J. C., &amp; Patzer, R. E. (2024). Care partner burden in the kidney transplant setting. Transplantation Reviews, 38(1), 100841.</w:t>
      </w:r>
    </w:p>
    <w:p>
      <w:pPr>
        <w:spacing w:after="180" w:before="0" w:line="280"/>
        <w:ind w:left="720"/>
        <w:jc w:val="left"/>
      </w:pPr>
      <w:r>
        <w:rPr>
          <w:rFonts w:ascii="Arial" w:cs="Arial" w:eastAsia="Arial" w:hAnsi="Arial"/>
          <w:b w:val="false"/>
          <w:bCs w:val="false"/>
          <w:i w:val="false"/>
          <w:iCs w:val="false"/>
          <w:color w:val="1A1A1A"/>
          <w:sz w:val="18"/>
          <w:szCs w:val="18"/>
        </w:rPr>
        <w:t xml:space="preserve">Pyzdek, T., &amp; Keller, P. (2018). The Six Sigma handbook (5th ed.). McGraw-Hill Education.</w:t>
      </w:r>
    </w:p>
    <w:p>
      <w:pPr>
        <w:spacing w:after="180" w:before="0" w:line="280"/>
        <w:ind w:left="720"/>
        <w:jc w:val="left"/>
      </w:pPr>
      <w:r>
        <w:rPr>
          <w:rFonts w:ascii="Arial" w:cs="Arial" w:eastAsia="Arial" w:hAnsi="Arial"/>
          <w:b w:val="false"/>
          <w:bCs w:val="false"/>
          <w:i w:val="false"/>
          <w:iCs w:val="false"/>
          <w:color w:val="1A1A1A"/>
          <w:sz w:val="18"/>
          <w:szCs w:val="18"/>
        </w:rPr>
        <w:t xml:space="preserve">Reinhard, S. C., Feinberg, L. F., Choula, R., &amp; Houser, A. (2023). Valuing the invaluable: 2023 update. AARP Public Policy Institute.</w:t>
      </w:r>
    </w:p>
    <w:p>
      <w:pPr>
        <w:spacing w:after="180" w:before="0" w:line="280"/>
        <w:ind w:left="720"/>
        <w:jc w:val="left"/>
      </w:pPr>
      <w:r>
        <w:rPr>
          <w:rFonts w:ascii="Arial" w:cs="Arial" w:eastAsia="Arial" w:hAnsi="Arial"/>
          <w:b w:val="false"/>
          <w:bCs w:val="false"/>
          <w:i w:val="false"/>
          <w:iCs w:val="false"/>
          <w:color w:val="1A1A1A"/>
          <w:sz w:val="18"/>
          <w:szCs w:val="18"/>
        </w:rPr>
        <w:t xml:space="preserve">Senate Finance Committee. (2023). Investigating UNOS: A review of the organization overseeing the nation's organ transplant system. U.S. Senate.</w:t>
      </w:r>
    </w:p>
    <w:p>
      <w:pPr>
        <w:spacing w:after="180" w:before="0" w:line="280"/>
        <w:ind w:left="720"/>
        <w:jc w:val="left"/>
      </w:pPr>
      <w:r>
        <w:rPr>
          <w:rFonts w:ascii="Arial" w:cs="Arial" w:eastAsia="Arial" w:hAnsi="Arial"/>
          <w:b w:val="false"/>
          <w:bCs w:val="false"/>
          <w:i w:val="false"/>
          <w:iCs w:val="false"/>
          <w:color w:val="1A1A1A"/>
          <w:sz w:val="18"/>
          <w:szCs w:val="18"/>
        </w:rPr>
        <w:t xml:space="preserve">Stewart, D. E., Levan, M. L., Gentry, S. E., Lonze, B. E., &amp; Segev, D. L. (2026). Accumulated refusal count: A signal of kidney nonuse risk [Preprint]. medRxiv. https://doi.org/10.64898/2026.01.08.26343720</w:t>
      </w:r>
    </w:p>
    <w:p>
      <w:pPr>
        <w:spacing w:after="180" w:before="0" w:line="280"/>
        <w:ind w:left="720"/>
        <w:jc w:val="left"/>
      </w:pPr>
      <w:r>
        <w:rPr>
          <w:rFonts w:ascii="Arial" w:cs="Arial" w:eastAsia="Arial" w:hAnsi="Arial"/>
          <w:b w:val="false"/>
          <w:bCs w:val="false"/>
          <w:i w:val="false"/>
          <w:iCs w:val="false"/>
          <w:color w:val="1A1A1A"/>
          <w:sz w:val="18"/>
          <w:szCs w:val="18"/>
        </w:rPr>
        <w:t xml:space="preserve">Tingle, S. J., Thompson, E. R., Figueiredo, R. S., Moir, J. A. G., Goodfellow, M., Talbot, D., &amp; Wilson, C. H. (2024). Normothermic and hypothermic machine perfusion versus static cold storage for deceased donor kidney transplantation. Cochrane Database of Systematic Reviews, 2024(7), Article CD011671.</w:t>
      </w:r>
    </w:p>
    <w:p>
      <w:pPr>
        <w:spacing w:after="180" w:before="0" w:line="280"/>
        <w:ind w:left="720"/>
        <w:jc w:val="left"/>
      </w:pPr>
      <w:r>
        <w:rPr>
          <w:rFonts w:ascii="Arial" w:cs="Arial" w:eastAsia="Arial" w:hAnsi="Arial"/>
          <w:b w:val="false"/>
          <w:bCs w:val="false"/>
          <w:i w:val="false"/>
          <w:iCs w:val="false"/>
          <w:color w:val="1A1A1A"/>
          <w:sz w:val="18"/>
          <w:szCs w:val="18"/>
        </w:rPr>
        <w:t xml:space="preserve">United Network for Organ Sharing. (2026, January 28). U.S. surpasses 49,000 organ transplants while deceased organ donations dip. https://unos.org</w:t>
      </w:r>
    </w:p>
    <w:p>
      <w:pPr>
        <w:spacing w:after="180" w:before="0" w:line="280"/>
        <w:ind w:left="720"/>
        <w:jc w:val="left"/>
      </w:pPr>
      <w:r>
        <w:rPr>
          <w:rFonts w:ascii="Arial" w:cs="Arial" w:eastAsia="Arial" w:hAnsi="Arial"/>
          <w:b w:val="false"/>
          <w:bCs w:val="false"/>
          <w:i w:val="false"/>
          <w:iCs w:val="false"/>
          <w:color w:val="1A1A1A"/>
          <w:sz w:val="18"/>
          <w:szCs w:val="18"/>
        </w:rPr>
        <w:t xml:space="preserve">United States Renal Data System. (2023). USRDS 2023 annual data report. National Institutes of Health.</w:t>
      </w:r>
    </w:p>
    <w:p>
      <w:pPr>
        <w:spacing w:after="180" w:before="0" w:line="280"/>
        <w:ind w:left="720"/>
        <w:jc w:val="left"/>
      </w:pPr>
      <w:r>
        <w:rPr>
          <w:rFonts w:ascii="Arial" w:cs="Arial" w:eastAsia="Arial" w:hAnsi="Arial"/>
          <w:b w:val="false"/>
          <w:bCs w:val="false"/>
          <w:i w:val="false"/>
          <w:iCs w:val="false"/>
          <w:color w:val="1A1A1A"/>
          <w:sz w:val="18"/>
          <w:szCs w:val="18"/>
        </w:rPr>
        <w:t xml:space="preserve">Wilson, J., &amp; Nadler, J. (2025). Living Organ Donor Tax Credit Act, H.R. 3698, 119th Cong. https://www.congress.gov/bill/119th-congress/house-bill/3698/text</w:t>
      </w:r>
    </w:p>
    <w:p>
      <w:pPr>
        <w:spacing w:after="180" w:before="0" w:line="280"/>
        <w:ind w:left="720"/>
        <w:jc w:val="left"/>
      </w:pPr>
      <w:r>
        <w:rPr>
          <w:rFonts w:ascii="Arial" w:cs="Arial" w:eastAsia="Arial" w:hAnsi="Arial"/>
          <w:b w:val="false"/>
          <w:bCs w:val="false"/>
          <w:i w:val="false"/>
          <w:iCs w:val="false"/>
          <w:color w:val="1A1A1A"/>
          <w:sz w:val="18"/>
          <w:szCs w:val="18"/>
        </w:rPr>
        <w:t xml:space="preserve">Womack, J. P., &amp; Jones, D. T. (1996). Lean thinking: Banish waste and create wealth in your corporation. Simon &amp; Schuster.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52A" w:sz="2"/>
      </w:pBdr>
      <w:spacing w:before="0"/>
      <w:jc w:val="center"/>
    </w:pPr>
    <w:r>
      <w:rPr>
        <w:rFonts w:ascii="Arial" w:cs="Arial" w:eastAsia="Arial" w:hAnsi="Arial"/>
        <w:b w:val="false"/>
        <w:bCs w:val="false"/>
        <w:i w:val="false"/>
        <w:iCs w:val="false"/>
        <w:color w:val="888888"/>
        <w:sz w:val="15"/>
        <w:szCs w:val="15"/>
      </w:rPr>
      <w:t xml:space="preserve">Parke (2026)  •  Page </w:t>
    </w:r>
    <w:pgNum/>
    <w:r>
      <w:rPr>
        <w:rFonts w:ascii="Arial" w:cs="Arial" w:eastAsia="Arial" w:hAnsi="Arial"/>
        <w:b w:val="false"/>
        <w:bCs w:val="false"/>
        <w:i w:val="false"/>
        <w:iCs w:val="false"/>
        <w:color w:val="888888"/>
        <w:sz w:val="15"/>
        <w:szCs w:val="15"/>
      </w:rPr>
      <w:t xml:space="preserve">  •  coldischemia.foundation  •  Version 2.0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52A" w:sz="2"/>
      </w:pBdr>
      <w:spacing w:after="0"/>
    </w:pPr>
    <w:r>
      <w:rPr>
        <w:rFonts w:ascii="Arial" w:cs="Arial" w:eastAsia="Arial" w:hAnsi="Arial"/>
        <w:b w:val="false"/>
        <w:bCs w:val="false"/>
        <w:i/>
        <w:iCs/>
        <w:color w:val="888888"/>
        <w:sz w:val="15"/>
        <w:szCs w:val="15"/>
      </w:rPr>
      <w:t xml:space="preserve">Cold Ischemia Foundation  •  Lean Six Sigma Methodology for U.S. Transplant System Transformation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2A4A"/>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8B2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2026-06-01T21:52:55.992Z</dcterms:created>
  <dcterms:modified xsi:type="dcterms:W3CDTF">2026-06-01T21:52:55.992Z</dcterms:modified>
</cp:coreProperties>
</file>

<file path=docProps/custom.xml><?xml version="1.0" encoding="utf-8"?>
<Properties xmlns="http://schemas.openxmlformats.org/officeDocument/2006/custom-properties" xmlns:vt="http://schemas.openxmlformats.org/officeDocument/2006/docPropsVTypes"/>
</file>