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color w:val="1F4E79"/>
          <w:sz w:val="26"/>
          <w:szCs w:val="26"/>
          <w:caps/>
        </w:rPr>
        <w:t xml:space="preserve">INFORME DE PRUEBAS DE SOFTWARE</w:t>
      </w:r>
    </w:p>
    <w:p>
      <w:pPr>
        <w:pBdr>
          <w:bottom w:val="single" w:color="1F4E79" w:sz="12" w:space="6"/>
        </w:pBdr>
        <w:spacing w:after="360"/>
        <w:jc w:val="center"/>
      </w:pPr>
      <w:r>
        <w:rPr>
          <w:color w:val="595959"/>
          <w:sz w:val="22"/>
          <w:szCs w:val="22"/>
        </w:rPr>
        <w:t xml:space="preserve">Pruebas unitarias, de dominio y de integración</w:t>
      </w:r>
    </w:p>
    <w:p>
      <w:pPr>
        <w:spacing w:before="200" w:after="60"/>
        <w:jc w:val="center"/>
      </w:pPr>
      <w:r>
        <w:rPr>
          <w:b/>
          <w:bCs/>
          <w:color w:val="222222"/>
          <w:sz w:val="56"/>
          <w:szCs w:val="56"/>
        </w:rPr>
        <w:t xml:space="preserve">Parkings Together</w:t>
      </w:r>
    </w:p>
    <w:p>
      <w:pPr>
        <w:spacing w:after="700"/>
        <w:jc w:val="center"/>
      </w:pPr>
      <w:r>
        <w:rPr>
          <w:color w:val="595959"/>
          <w:sz w:val="24"/>
          <w:szCs w:val="24"/>
        </w:rPr>
        <w:t xml:space="preserve">Marketplace P2P de estacionamientos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Documento</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Informe de pruebas de software</w:t>
            </w:r>
          </w:p>
        </w:tc>
      </w:tr>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Proyecto</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Parkings Together — Marketplace P2P de estacionamientos</w:t>
            </w:r>
          </w:p>
        </w:tc>
      </w:tr>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Versión</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2.0</w:t>
            </w:r>
          </w:p>
        </w:tc>
      </w:tr>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Fecha</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12 de junio de 2026</w:t>
            </w:r>
          </w:p>
        </w:tc>
      </w:tr>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Asignatura</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DSY1106</w:t>
            </w:r>
          </w:p>
        </w:tc>
      </w:tr>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Docente</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________________________________________</w:t>
            </w:r>
          </w:p>
        </w:tc>
      </w:tr>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Integrantes</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________________________________________</w:t>
            </w:r>
          </w:p>
        </w:tc>
      </w:tr>
      <w:tr>
        <w:tc>
          <w:tcPr>
            <w:tcW w:type="dxa" w:w="26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Resultado global</w:t>
            </w:r>
          </w:p>
        </w:tc>
        <w:tc>
          <w:tcPr>
            <w:tcW w:type="dxa" w:w="64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77 / 77 pruebas aprobadas (100 %)</w:t>
            </w:r>
          </w:p>
        </w:tc>
      </w:tr>
    </w:tbl>
    <w:p>
      <w:pPr>
        <w:sectPr>
          <w:pgSz w:w="11906" w:h="16838" w:orient="portrait"/>
          <w:pgMar w:top="1417" w:right="1417" w:bottom="1417" w:left="1417" w:header="708" w:footer="708" w:gutter="0"/>
          <w:pgNumType/>
          <w:docGrid w:linePitch="360"/>
        </w:sectPr>
      </w:pPr>
    </w:p>
    <w:p>
      <w:pPr>
        <w:spacing w:after="160"/>
      </w:pPr>
      <w:r>
        <w:rPr>
          <w:b/>
          <w:bCs/>
          <w:color w:val="1F4E79"/>
          <w:sz w:val="28"/>
          <w:szCs w:val="28"/>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before="120"/>
      </w:pPr>
      <w:r>
        <w:rPr>
          <w:i/>
          <w:iCs/>
          <w:color w:val="808080"/>
          <w:sz w:val="18"/>
          <w:szCs w:val="18"/>
        </w:rPr>
        <w:t xml:space="preserve">Nota: en Microsoft Word, haga clic derecho sobre el índice y seleccione «Actualizar campos» para numerar las páginas.</w:t>
      </w:r>
    </w:p>
    <w:p>
      <w:r>
        <w:br w:type="page"/>
      </w:r>
    </w:p>
    <w:p>
      <w:pPr>
        <w:pStyle w:val="Heading1"/>
        <w:spacing w:before="320" w:after="160" w:line="276" w:lineRule="auto"/>
      </w:pPr>
      <w:r>
        <w:t xml:space="preserve">1. Introducción y objetivo</w:t>
      </w:r>
    </w:p>
    <w:p>
      <w:pPr>
        <w:spacing w:line="360" w:lineRule="auto" w:after="120"/>
        <w:jc w:val="both"/>
      </w:pPr>
      <w:r>
        <w:t xml:space="preserve">El presente informe documenta las pruebas automatizadas implementadas para el proyecto Parkings Together, una plataforma tipo marketplace de intermediación (P2P) para el arriendo de estacionamientos entre particulares. El objetivo es verificar, mediante pruebas reproducibles, que la lógica de negocio crítica y los contratos de las interfaces (API) del sistema se comportan según lo esperado y se mantienen estables ante cambios.</w:t>
      </w:r>
    </w:p>
    <w:p>
      <w:pPr>
        <w:spacing w:line="360" w:lineRule="auto" w:after="120"/>
        <w:jc w:val="both"/>
      </w:pPr>
      <w:r>
        <w:t xml:space="preserve">Las pruebas se ejecutan de forma aislada, sin depender de servicios externos: tanto la base de datos como la red se sustituyen por dobles de prueba (mocks). De este modo, las pruebas son rápidas, deterministas y reproducibles en cualquier entorno, lo que las hace aptas como evidencia objetiva de la calidad del software.</w:t>
      </w:r>
    </w:p>
    <w:p>
      <w:pPr>
        <w:pStyle w:val="Heading1"/>
        <w:spacing w:before="320" w:after="160" w:line="276" w:lineRule="auto"/>
      </w:pPr>
      <w:r>
        <w:t xml:space="preserve">2. Alcance y entorno de pruebas</w:t>
      </w:r>
    </w:p>
    <w:p>
      <w:pPr>
        <w:spacing w:line="360" w:lineRule="auto" w:after="120"/>
        <w:jc w:val="both"/>
      </w:pPr>
      <w:r>
        <w:t xml:space="preserve">El alcance cubre la lógica de negocio pura (cálculo de precios, proveedores de pago, geocodificación de regiones de Chile, limitación de peticiones), la lógica de dominio del microservicio de reservas (patrón Saga con compensación y control de capacidad bajo CQRS) y el contrato del orquestador de servicios (BFF). La siguiente tabla resume el entorno técnico.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Aspecto</w:t>
            </w:r>
          </w:p>
        </w:tc>
        <w:tc>
          <w:tcPr>
            <w:tcW w:type="dxa" w:w="60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Detalle</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bCs/>
              </w:rPr>
              <w:t xml:space="preserve">Lenguaje / runtime</w:t>
            </w:r>
          </w:p>
        </w:tc>
        <w:tc>
          <w:tcPr>
            <w:tcW w:type="dxa" w:w="60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JavaScript · Node.js (v24; requiere ≥ 22)</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bCs/>
              </w:rPr>
              <w:t xml:space="preserve">Pruebas unitarias y de dominio</w:t>
            </w:r>
          </w:p>
        </w:tc>
        <w:tc>
          <w:tcPr>
            <w:tcW w:type="dxa" w:w="60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Jest (babel-jest para módulos ESM)</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bCs/>
              </w:rPr>
              <w:t xml:space="preserve">Pruebas de integración (BFF)</w:t>
            </w:r>
          </w:p>
        </w:tc>
        <w:tc>
          <w:tcPr>
            <w:tcW w:type="dxa" w:w="60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node:test — runner de pruebas nativo de Node.js</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bCs/>
              </w:rPr>
              <w:t xml:space="preserve">Cobertura de código</w:t>
            </w:r>
          </w:p>
        </w:tc>
        <w:tc>
          <w:tcPr>
            <w:tcW w:type="dxa" w:w="60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Istanbul (reporte de texto y HTML lcov-report)</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bCs/>
              </w:rPr>
              <w:t xml:space="preserve">Aislamiento</w:t>
            </w:r>
          </w:p>
        </w:tc>
        <w:tc>
          <w:tcPr>
            <w:tcW w:type="dxa" w:w="60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Mock de fetch global y mock de repositorio (jest.mock): sin base de datos ni red reales</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bCs/>
              </w:rPr>
              <w:t xml:space="preserve">Ubicación de las pruebas</w:t>
            </w:r>
          </w:p>
        </w:tc>
        <w:tc>
          <w:tcPr>
            <w:tcW w:type="dxa" w:w="60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apps/web/tests/ y apps/ms-reservas/tests/</w:t>
            </w:r>
          </w:p>
        </w:tc>
      </w:tr>
    </w:tbl>
    <w:p>
      <w:pPr>
        <w:pStyle w:val="Heading1"/>
        <w:spacing w:before="320" w:after="160" w:line="276" w:lineRule="auto"/>
      </w:pPr>
      <w:r>
        <w:t xml:space="preserve">3. Estrategia y tipos de prueba</w:t>
      </w:r>
    </w:p>
    <w:p>
      <w:pPr>
        <w:spacing w:line="360" w:lineRule="auto" w:after="120"/>
        <w:jc w:val="both"/>
      </w:pPr>
      <w:r>
        <w:t xml:space="preserve">Se aplicó una estrategia que combina pruebas unitarias de funciones puras de negocio, pruebas de dominio y pruebas de integración del contrato de las interfaces. Cada tipo valida una preocupación distinta del sistema: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4372"/>
        <w:gridCol w:w="2400"/>
      </w:tblGrid>
      <w:tr>
        <w:tc>
          <w:tcPr>
            <w:tcW w:type="dxa" w:w="23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Tipo</w:t>
            </w:r>
          </w:p>
        </w:tc>
        <w:tc>
          <w:tcPr>
            <w:tcW w:type="dxa" w:w="43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Qué valida</w:t>
            </w:r>
          </w:p>
        </w:tc>
        <w:tc>
          <w:tcPr>
            <w:tcW w:type="dxa" w:w="24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Suites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bCs/>
              </w:rPr>
              <w:t xml:space="preserve">Unitarias (negocio)</w:t>
            </w:r>
          </w:p>
        </w:tc>
        <w:tc>
          <w:tcPr>
            <w:tcW w:type="dxa" w:w="43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Funciones puras: precios, pagos, regiones, rate limit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sz w:val="16"/>
                <w:szCs w:val="16"/>
                <w:rFonts w:ascii="Consolas" w:cs="Consolas" w:eastAsia="Consolas" w:hAnsi="Consolas"/>
              </w:rPr>
              <w:t xml:space="preserve">pricing · payments · geocoding · rateLimit</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bCs/>
              </w:rPr>
              <w:t xml:space="preserve">Dominio / Saga</w:t>
            </w:r>
          </w:p>
        </w:tc>
        <w:tc>
          <w:tcPr>
            <w:tcW w:type="dxa" w:w="43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Reserva atómica con compensación (rollback) y capacidad (CQRS)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sz w:val="16"/>
                <w:szCs w:val="16"/>
                <w:rFonts w:ascii="Consolas" w:cs="Consolas" w:eastAsia="Consolas" w:hAnsi="Consolas"/>
              </w:rPr>
              <w:t xml:space="preserve">reserveService.test.js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bCs/>
              </w:rPr>
              <w:t xml:space="preserve">Integración de API (BFF)</w:t>
            </w:r>
          </w:p>
        </w:tc>
        <w:tc>
          <w:tcPr>
            <w:tcW w:type="dxa" w:w="43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Contrato de las rutas del orquestador (estructura y errores)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sz w:val="16"/>
                <w:szCs w:val="16"/>
                <w:rFonts w:ascii="Consolas" w:cs="Consolas" w:eastAsia="Consolas" w:hAnsi="Consolas"/>
              </w:rPr>
              <w:t xml:space="preserve">api.test.js</w:t>
            </w:r>
          </w:p>
        </w:tc>
      </w:tr>
      <w:tr>
        <w:tc>
          <w:tcPr>
            <w:tcW w:type="dxa" w:w="23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bCs/>
              </w:rPr>
              <w:t xml:space="preserve">Resiliencia</w:t>
            </w:r>
          </w:p>
        </w:tc>
        <w:tc>
          <w:tcPr>
            <w:tcW w:type="dxa" w:w="43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Timeout estricto y respuesta de respaldo (fallback) del BFF</w:t>
            </w:r>
          </w:p>
        </w:tc>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sz w:val="16"/>
                <w:szCs w:val="16"/>
                <w:rFonts w:ascii="Consolas" w:cs="Consolas" w:eastAsia="Consolas" w:hAnsi="Consolas"/>
              </w:rPr>
              <w:t xml:space="preserve">api.timeout.test.js</w:t>
            </w:r>
          </w:p>
        </w:tc>
      </w:tr>
    </w:tbl>
    <w:p>
      <w:pPr>
        <w:pStyle w:val="Heading1"/>
        <w:spacing w:before="320" w:after="160" w:line="276" w:lineRule="auto"/>
      </w:pPr>
      <w:r>
        <w:t xml:space="preserve">4. Resumen de resultados</w:t>
      </w:r>
    </w:p>
    <w:p>
      <w:pPr>
        <w:spacing w:line="360" w:lineRule="auto" w:after="120"/>
        <w:jc w:val="both"/>
      </w:pPr>
      <w:r>
        <w:t xml:space="preserve">Se ejecutaron 77 pruebas automatizadas distribuidas en 7 suites. La totalidad resultó aprobada, en un tiempo de ejecución de pocos segundos y sin dependencias externas.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72"/>
        <w:gridCol w:w="1900"/>
        <w:gridCol w:w="1300"/>
        <w:gridCol w:w="2500"/>
      </w:tblGrid>
      <w:tr>
        <w:tc>
          <w:tcPr>
            <w:tcW w:type="dxa" w:w="33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Suite</w:t>
            </w:r>
          </w:p>
        </w:tc>
        <w:tc>
          <w:tcPr>
            <w:tcW w:type="dxa" w:w="19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Framework</w:t>
            </w:r>
          </w:p>
        </w:tc>
        <w:tc>
          <w:tcPr>
            <w:tcW w:type="dxa" w:w="13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Casos</w:t>
            </w:r>
          </w:p>
        </w:tc>
        <w:tc>
          <w:tcPr>
            <w:tcW w:type="dxa" w:w="25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Resultado</w:t>
            </w:r>
          </w:p>
        </w:tc>
      </w:tr>
      <w:tr>
        <w:tc>
          <w:tcPr>
            <w:tcW w:type="dxa" w:w="33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sz w:val="18"/>
                <w:szCs w:val="18"/>
                <w:rFonts w:ascii="Consolas" w:cs="Consolas" w:eastAsia="Consolas" w:hAnsi="Consolas"/>
              </w:rPr>
              <w:t xml:space="preserve">pricing.test.js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Jest</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24</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24 / 24 aprobadas</w:t>
            </w:r>
          </w:p>
        </w:tc>
      </w:tr>
      <w:tr>
        <w:tc>
          <w:tcPr>
            <w:tcW w:type="dxa" w:w="33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sz w:val="18"/>
                <w:szCs w:val="18"/>
                <w:rFonts w:ascii="Consolas" w:cs="Consolas" w:eastAsia="Consolas" w:hAnsi="Consolas"/>
              </w:rPr>
              <w:t xml:space="preserve">payments.test.js</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Jest</w:t>
            </w:r>
          </w:p>
        </w:tc>
        <w:tc>
          <w:tcPr>
            <w:tcW w:type="dxa" w:w="13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30</w:t>
            </w:r>
          </w:p>
        </w:tc>
        <w:tc>
          <w:tcPr>
            <w:tcW w:type="dxa" w:w="2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30 / 30 aprobadas</w:t>
            </w:r>
          </w:p>
        </w:tc>
      </w:tr>
      <w:tr>
        <w:tc>
          <w:tcPr>
            <w:tcW w:type="dxa" w:w="33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sz w:val="18"/>
                <w:szCs w:val="18"/>
                <w:rFonts w:ascii="Consolas" w:cs="Consolas" w:eastAsia="Consolas" w:hAnsi="Consolas"/>
              </w:rPr>
              <w:t xml:space="preserve">geocoding.test.js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Jest</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8</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8 / 8 aprobadas</w:t>
            </w:r>
          </w:p>
        </w:tc>
      </w:tr>
      <w:tr>
        <w:tc>
          <w:tcPr>
            <w:tcW w:type="dxa" w:w="33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sz w:val="18"/>
                <w:szCs w:val="18"/>
                <w:rFonts w:ascii="Consolas" w:cs="Consolas" w:eastAsia="Consolas" w:hAnsi="Consolas"/>
              </w:rPr>
              <w:t xml:space="preserve">rateLimit.test.js</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Jest</w:t>
            </w:r>
          </w:p>
        </w:tc>
        <w:tc>
          <w:tcPr>
            <w:tcW w:type="dxa" w:w="13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5</w:t>
            </w:r>
          </w:p>
        </w:tc>
        <w:tc>
          <w:tcPr>
            <w:tcW w:type="dxa" w:w="2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5 / 5 aprobadas</w:t>
            </w:r>
          </w:p>
        </w:tc>
      </w:tr>
      <w:tr>
        <w:tc>
          <w:tcPr>
            <w:tcW w:type="dxa" w:w="33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sz w:val="18"/>
                <w:szCs w:val="18"/>
                <w:rFonts w:ascii="Consolas" w:cs="Consolas" w:eastAsia="Consolas" w:hAnsi="Consolas"/>
              </w:rPr>
              <w:t xml:space="preserve">reserveService.test.js</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Jest</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2</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2 / 2 aprobadas</w:t>
            </w:r>
          </w:p>
        </w:tc>
      </w:tr>
      <w:tr>
        <w:tc>
          <w:tcPr>
            <w:tcW w:type="dxa" w:w="33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sz w:val="18"/>
                <w:szCs w:val="18"/>
                <w:rFonts w:ascii="Consolas" w:cs="Consolas" w:eastAsia="Consolas" w:hAnsi="Consolas"/>
              </w:rPr>
              <w:t xml:space="preserve">api.timeout.test.js</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Jest</w:t>
            </w:r>
          </w:p>
        </w:tc>
        <w:tc>
          <w:tcPr>
            <w:tcW w:type="dxa" w:w="13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2</w:t>
            </w:r>
          </w:p>
        </w:tc>
        <w:tc>
          <w:tcPr>
            <w:tcW w:type="dxa" w:w="2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2 / 2 aprobadas</w:t>
            </w:r>
          </w:p>
        </w:tc>
      </w:tr>
      <w:tr>
        <w:tc>
          <w:tcPr>
            <w:tcW w:type="dxa" w:w="33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sz w:val="18"/>
                <w:szCs w:val="18"/>
                <w:rFonts w:ascii="Consolas" w:cs="Consolas" w:eastAsia="Consolas" w:hAnsi="Consolas"/>
              </w:rPr>
              <w:t xml:space="preserve">api.test.js (BFF)</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node:test</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6</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6 / 6 aprobadas</w:t>
            </w:r>
          </w:p>
        </w:tc>
      </w:tr>
      <w:tr>
        <w:tc>
          <w:tcPr>
            <w:tcW w:type="dxa" w:w="3372"/>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rPr>
              <w:t xml:space="preserve">TOTAL</w:t>
            </w:r>
          </w:p>
        </w:tc>
        <w:tc>
          <w:tcPr>
            <w:tcW w:type="dxa" w:w="19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center"/>
            </w:pPr>
            <w:r>
              <w:rPr>
                <w:b w:val="false"/>
                <w:bCs w:val="false"/>
              </w:rPr>
              <w:t xml:space="preserve">—</w:t>
            </w:r>
          </w:p>
        </w:tc>
        <w:tc>
          <w:tcPr>
            <w:tcW w:type="dxa" w:w="13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center"/>
            </w:pPr>
            <w:r>
              <w:rPr>
                <w:b/>
                <w:bCs/>
              </w:rPr>
              <w:t xml:space="preserve">77</w:t>
            </w:r>
          </w:p>
        </w:tc>
        <w:tc>
          <w:tcPr>
            <w:tcW w:type="dxa" w:w="2500"/>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center"/>
            </w:pPr>
            <w:r>
              <w:rPr>
                <w:b/>
                <w:bCs/>
              </w:rPr>
              <w:t xml:space="preserve">77 / 77 (100 %)</w:t>
            </w:r>
          </w:p>
        </w:tc>
      </w:tr>
    </w:tbl>
    <w:p>
      <w:pPr>
        <w:spacing w:line="360" w:lineRule="auto" w:after="120"/>
        <w:jc w:val="both"/>
      </w:pPr>
      <w:r>
        <w:t xml:space="preserve">Las pruebas Jest cubren 71 casos en 6 suites; la suite de integración del BFF (api.test.js) aporta 6 casos adicionales mediante el runner nativo node:test.</w:t>
      </w:r>
    </w:p>
    <w:p>
      <w:pPr>
        <w:pStyle w:val="Heading1"/>
        <w:spacing w:before="320" w:after="160" w:line="276" w:lineRule="auto"/>
      </w:pPr>
      <w:r>
        <w:t xml:space="preserve">5. Detalle por suite de pruebas</w:t>
      </w:r>
    </w:p>
    <w:p>
      <w:pPr>
        <w:pStyle w:val="Heading2"/>
        <w:spacing w:before="220" w:after="120" w:line="276" w:lineRule="auto"/>
      </w:pPr>
      <w:r>
        <w:t xml:space="preserve">5.1. pricing.test.js — Cálculo de precios (24 casos)</w:t>
      </w:r>
    </w:p>
    <w:p>
      <w:pPr>
        <w:spacing w:line="360" w:lineRule="auto" w:after="120"/>
        <w:jc w:val="both"/>
      </w:pPr>
      <w:r>
        <w:rPr>
          <w:b/>
          <w:bCs/>
        </w:rPr>
        <w:t xml:space="preserve">Módulo: </w:t>
      </w:r>
      <w:r>
        <w:rPr>
          <w:sz w:val="20"/>
          <w:szCs w:val="20"/>
          <w:rFonts w:ascii="Consolas" w:cs="Consolas" w:eastAsia="Consolas" w:hAnsi="Consolas"/>
        </w:rPr>
        <w:t xml:space="preserve">apps/web/src/lib/pricing.js</w:t>
      </w:r>
      <w:r>
        <w:t xml:space="preserve"> (calcTotal, calcBreakdown). Valida el cálculo de tarifa por duración: duración 0 → $0; estacionamiento gratuito → $0; tarifas por hora, por minuto y por día (incluyendo redondeos y fracciones); combinaciones día+hora+minuto; y que el desglose (calcBreakdown) sume exactamente lo mismo que calcTotal.</w:t>
      </w:r>
    </w:p>
    <w:p>
      <w:pPr>
        <w:pStyle w:val="Heading2"/>
        <w:spacing w:before="220" w:after="120" w:line="276" w:lineRule="auto"/>
      </w:pPr>
      <w:r>
        <w:t xml:space="preserve">5.2. payments.test.js — Proveedores de pago, patrón Strategy (30 casos)</w:t>
      </w:r>
    </w:p>
    <w:p>
      <w:pPr>
        <w:spacing w:line="360" w:lineRule="auto" w:after="120"/>
        <w:jc w:val="both"/>
      </w:pPr>
      <w:r>
        <w:rPr>
          <w:b/>
          <w:bCs/>
        </w:rPr>
        <w:t xml:space="preserve">Módulo: </w:t>
      </w:r>
      <w:r>
        <w:rPr>
          <w:sz w:val="20"/>
          <w:szCs w:val="20"/>
          <w:rFonts w:ascii="Consolas" w:cs="Consolas" w:eastAsia="Consolas" w:hAnsi="Consolas"/>
        </w:rPr>
        <w:t xml:space="preserve">apps/web/src/lib/payments.js</w:t>
      </w:r>
      <w:r>
        <w:t xml:space="preserve">. Valida isValidProvider (acepta mock/efectivo/webpay y rechaza otros), genTransactionId (formato, prefijo y unicidad), isWebpayConfigured, y que createCharge devuelva un contrato uniforme { status, transactionId, raw } para los distintos proveedores.</w:t>
      </w:r>
    </w:p>
    <w:p>
      <w:pPr>
        <w:pStyle w:val="Heading2"/>
        <w:spacing w:before="220" w:after="120" w:line="276" w:lineRule="auto"/>
      </w:pPr>
      <w:r>
        <w:t xml:space="preserve">5.3. geocoding.test.js — Regiones de Chile (8 casos)</w:t>
      </w:r>
    </w:p>
    <w:p>
      <w:pPr>
        <w:spacing w:line="360" w:lineRule="auto" w:after="120"/>
        <w:jc w:val="both"/>
      </w:pPr>
      <w:r>
        <w:rPr>
          <w:b/>
          <w:bCs/>
        </w:rPr>
        <w:t xml:space="preserve">Módulo: </w:t>
      </w:r>
      <w:r>
        <w:rPr>
          <w:sz w:val="20"/>
          <w:szCs w:val="20"/>
          <w:rFonts w:ascii="Consolas" w:cs="Consolas" w:eastAsia="Consolas" w:hAnsi="Consolas"/>
        </w:rPr>
        <w:t xml:space="preserve">apps/web/src/lib/comunas-chile.js</w:t>
      </w:r>
      <w:r>
        <w:t xml:space="preserve"> (REGIONES, detectarRegion). Valida que existan las 16 regiones con sus campos y límites coherentes, que coordenadas reales caigan en la región correcta (Santiago → Región Metropolitana, Valparaíso → V Región) y que puntos fuera de Chile devuelvan null.</w:t>
      </w:r>
    </w:p>
    <w:p>
      <w:pPr>
        <w:pStyle w:val="Heading2"/>
        <w:spacing w:before="220" w:after="120" w:line="276" w:lineRule="auto"/>
      </w:pPr>
      <w:r>
        <w:t xml:space="preserve">5.4. rateLimit.test.js — Limitación de peticiones (5 casos)</w:t>
      </w:r>
    </w:p>
    <w:p>
      <w:pPr>
        <w:spacing w:line="360" w:lineRule="auto" w:after="120"/>
        <w:jc w:val="both"/>
      </w:pPr>
      <w:r>
        <w:rPr>
          <w:b/>
          <w:bCs/>
        </w:rPr>
        <w:t xml:space="preserve">Módulo: </w:t>
      </w:r>
      <w:r>
        <w:rPr>
          <w:sz w:val="20"/>
          <w:szCs w:val="20"/>
          <w:rFonts w:ascii="Consolas" w:cs="Consolas" w:eastAsia="Consolas" w:hAnsi="Consolas"/>
        </w:rPr>
        <w:t xml:space="preserve">apps/web/src/lib/rateLimit.js</w:t>
      </w:r>
      <w:r>
        <w:t xml:space="preserve">. Valida el limitador de tasa: permite hasta el máximo de accesos y bloquea el siguiente, mantiene contadores independientes por clave y decrementa el remanente en cada acceso; además, clientIp extrae correctamente la IP del cliente desde la cabecera x-forwarded-for.</w:t>
      </w:r>
    </w:p>
    <w:p>
      <w:pPr>
        <w:pStyle w:val="Heading2"/>
        <w:spacing w:before="220" w:after="120" w:line="276" w:lineRule="auto"/>
      </w:pPr>
      <w:r>
        <w:t xml:space="preserve">5.5. api.test.js — Contratos del BFF (node:test, 6 casos)</w:t>
      </w:r>
    </w:p>
    <w:p>
      <w:pPr>
        <w:spacing w:line="360" w:lineRule="auto" w:after="120"/>
        <w:jc w:val="both"/>
      </w:pPr>
      <w:r>
        <w:t xml:space="preserve">Prueba la estructura de respuesta de las rutas de mismo origen </w:t>
      </w:r>
      <w:r>
        <w:rPr>
          <w:sz w:val="20"/>
          <w:szCs w:val="20"/>
          <w:rFonts w:ascii="Consolas" w:cs="Consolas" w:eastAsia="Consolas" w:hAnsi="Consolas"/>
        </w:rPr>
        <w:t xml:space="preserve">/api/mapas/search</w:t>
      </w:r>
      <w:r>
        <w:t xml:space="preserve"> y </w:t>
      </w:r>
      <w:r>
        <w:rPr>
          <w:sz w:val="20"/>
          <w:szCs w:val="20"/>
          <w:rFonts w:ascii="Consolas" w:cs="Consolas" w:eastAsia="Consolas" w:hAnsi="Consolas"/>
        </w:rPr>
        <w:t xml:space="preserve">/api/reservas/reserve</w:t>
      </w:r>
      <w:r>
        <w:t xml:space="preserve"> con un mock de fetch, sin base de datos real. Casos cubiertos: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6172"/>
        <w:gridCol w:w="2200"/>
      </w:tblGrid>
      <w:tr>
        <w:tc>
          <w:tcPr>
            <w:tcW w:type="dxa" w:w="7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w:t>
            </w:r>
          </w:p>
        </w:tc>
        <w:tc>
          <w:tcPr>
            <w:tcW w:type="dxa" w:w="61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Caso</w:t>
            </w:r>
          </w:p>
        </w:tc>
        <w:tc>
          <w:tcPr>
            <w:tcW w:type="dxa" w:w="2200"/>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Resultado</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w:t>
            </w:r>
          </w:p>
        </w:tc>
        <w:tc>
          <w:tcPr>
            <w:tcW w:type="dxa" w:w="61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Mapas: actualiza la ocupación correctamente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Aprobado</w:t>
            </w:r>
          </w:p>
        </w:tc>
      </w:tr>
      <w:tr>
        <w:tc>
          <w:tcPr>
            <w:tcW w:type="dxa" w:w="7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2</w:t>
            </w:r>
          </w:p>
        </w:tc>
        <w:tc>
          <w:tcPr>
            <w:tcW w:type="dxa" w:w="61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Mapas: rechaza la actualización al exceder la capacidad (PATCH)</w:t>
            </w:r>
          </w:p>
        </w:tc>
        <w:tc>
          <w:tcPr>
            <w:tcW w:type="dxa" w:w="22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Aprobado</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3</w:t>
            </w:r>
          </w:p>
        </w:tc>
        <w:tc>
          <w:tcPr>
            <w:tcW w:type="dxa" w:w="61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Reservas: verifica disponibilidad cuando hay plaza libre</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Aprobado</w:t>
            </w:r>
          </w:p>
        </w:tc>
      </w:tr>
      <w:tr>
        <w:tc>
          <w:tcPr>
            <w:tcW w:type="dxa" w:w="7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4</w:t>
            </w:r>
          </w:p>
        </w:tc>
        <w:tc>
          <w:tcPr>
            <w:tcW w:type="dxa" w:w="61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Reservas: verifica disponibilidad cuando la plaza está llena</w:t>
            </w:r>
          </w:p>
        </w:tc>
        <w:tc>
          <w:tcPr>
            <w:tcW w:type="dxa" w:w="22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Aprobado</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5</w:t>
            </w:r>
          </w:p>
        </w:tc>
        <w:tc>
          <w:tcPr>
            <w:tcW w:type="dxa" w:w="61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rPr>
              <w:t xml:space="preserve">Reservas: crea la reserva con éxito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Aprobado</w:t>
            </w:r>
          </w:p>
        </w:tc>
      </w:tr>
      <w:tr>
        <w:tc>
          <w:tcPr>
            <w:tcW w:type="dxa" w:w="7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6</w:t>
            </w:r>
          </w:p>
        </w:tc>
        <w:tc>
          <w:tcPr>
            <w:tcW w:type="dxa" w:w="6172"/>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left"/>
            </w:pPr>
            <w:r>
              <w:rPr>
                <w:b w:val="false"/>
                <w:bCs w:val="false"/>
              </w:rPr>
              <w:t xml:space="preserve">Reservas: maneja el error cuando la Saga falla</w:t>
            </w:r>
          </w:p>
        </w:tc>
        <w:tc>
          <w:tcPr>
            <w:tcW w:type="dxa" w:w="22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line="252" w:lineRule="auto" w:after="0"/>
              <w:jc w:val="center"/>
            </w:pPr>
            <w:r>
              <w:rPr>
                <w:b w:val="false"/>
                <w:bCs w:val="false"/>
              </w:rPr>
              <w:t xml:space="preserve">Aprobado</w:t>
            </w:r>
          </w:p>
        </w:tc>
      </w:tr>
    </w:tbl>
    <w:p>
      <w:pPr>
        <w:pStyle w:val="Heading2"/>
        <w:spacing w:before="220" w:after="120" w:line="276" w:lineRule="auto"/>
      </w:pPr>
      <w:r>
        <w:t xml:space="preserve">5.6. reserveService.test.js — Saga de reservas (2 casos)</w:t>
      </w:r>
    </w:p>
    <w:p>
      <w:pPr>
        <w:spacing w:line="360" w:lineRule="auto" w:after="120"/>
        <w:jc w:val="both"/>
      </w:pPr>
      <w:r>
        <w:rPr>
          <w:b/>
          <w:bCs/>
        </w:rPr>
        <w:t xml:space="preserve">Módulo: </w:t>
      </w:r>
      <w:r>
        <w:rPr>
          <w:sz w:val="20"/>
          <w:szCs w:val="20"/>
          <w:rFonts w:ascii="Consolas" w:cs="Consolas" w:eastAsia="Consolas" w:hAnsi="Consolas"/>
        </w:rPr>
        <w:t xml:space="preserve">apps/ms-reservas/.../services/reserva.service.js</w:t>
      </w:r>
      <w:r>
        <w:t xml:space="preserve">. Demuestra la robustez transaccional mediante el patrón Saga con compensación:</w:t>
      </w:r>
    </w:p>
    <w:p>
      <w:pPr>
        <w:pStyle w:val="ListParagraph"/>
        <w:numPr>
          <w:ilvl w:val="0"/>
          <w:numId w:val="1"/>
        </w:numPr>
        <w:spacing w:line="360" w:lineRule="auto" w:after="120"/>
        <w:jc w:val="both"/>
      </w:pPr>
      <w:r>
        <w:rPr>
          <w:b/>
          <w:bCs/>
        </w:rPr>
        <w:t xml:space="preserve">Control de capacidad (CQRS): </w:t>
      </w:r>
      <w:r>
        <w:t xml:space="preserve">rechaza la reserva si el estacionamiento está lleno y, en ese caso, no llega a crear la reserva.</w:t>
      </w:r>
    </w:p>
    <w:p>
      <w:pPr>
        <w:pStyle w:val="ListParagraph"/>
        <w:numPr>
          <w:ilvl w:val="0"/>
          <w:numId w:val="1"/>
        </w:numPr>
        <w:spacing w:line="360" w:lineRule="auto" w:after="120"/>
        <w:jc w:val="both"/>
      </w:pPr>
      <w:r>
        <w:rPr>
          <w:b/>
          <w:bCs/>
        </w:rPr>
        <w:t xml:space="preserve">Compensación (rollback): </w:t>
      </w:r>
      <w:r>
        <w:t xml:space="preserve">si falla el aumento de ocupación (error de concurrencia), la Saga revierte la reserva creada, garantizando la integridad de los datos.</w:t>
      </w:r>
    </w:p>
    <w:p>
      <w:pPr>
        <w:pStyle w:val="Heading2"/>
        <w:spacing w:before="220" w:after="120" w:line="276" w:lineRule="auto"/>
      </w:pPr>
      <w:r>
        <w:t xml:space="preserve">5.7. api.timeout.test.js — Resiliencia del BFF (2 casos)</w:t>
      </w:r>
    </w:p>
    <w:p>
      <w:pPr>
        <w:spacing w:line="360" w:lineRule="auto" w:after="120"/>
        <w:jc w:val="both"/>
      </w:pPr>
      <w:r>
        <w:t xml:space="preserve">Verifica que el cliente del BFF devuelva los datos cuando la respuesta llega a tiempo, y que aborte la petición mediante </w:t>
      </w:r>
      <w:r>
        <w:rPr>
          <w:sz w:val="20"/>
          <w:szCs w:val="20"/>
          <w:rFonts w:ascii="Consolas" w:cs="Consolas" w:eastAsia="Consolas" w:hAnsi="Consolas"/>
        </w:rPr>
        <w:t xml:space="preserve">AbortController</w:t>
      </w:r>
      <w:r>
        <w:t xml:space="preserve"> entregando una respuesta de respaldo segura (</w:t>
      </w:r>
      <w:r>
        <w:rPr>
          <w:sz w:val="16"/>
          <w:szCs w:val="16"/>
          <w:rFonts w:ascii="Consolas" w:cs="Consolas" w:eastAsia="Consolas" w:hAnsi="Consolas"/>
        </w:rPr>
        <w:t xml:space="preserve">{ success: false, error: true, fallback: true, data: [] }</w:t>
      </w:r>
      <w:r>
        <w:t xml:space="preserve">) cuando se supera el límite estricto de 8 segundos.</w:t>
      </w:r>
    </w:p>
    <w:p>
      <w:pPr>
        <w:pStyle w:val="Heading1"/>
        <w:spacing w:before="320" w:after="160" w:line="276" w:lineRule="auto"/>
      </w:pPr>
      <w:r>
        <w:t xml:space="preserve">6. Cobertura de código</w:t>
      </w:r>
    </w:p>
    <w:p>
      <w:pPr>
        <w:spacing w:line="360" w:lineRule="auto" w:after="120"/>
        <w:jc w:val="both"/>
      </w:pPr>
      <w:r>
        <w:t xml:space="preserve">La siguiente tabla presenta la cobertura global del código probado, generada con Istanbul (npx jest --coverage). La lógica de negocio pura alcanza una cobertura muy alta, y las ramas (branches) del servicio de reservas —donde reside la Saga— están cubiertas al 100 %.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72"/>
        <w:gridCol w:w="1575"/>
        <w:gridCol w:w="1575"/>
        <w:gridCol w:w="1575"/>
        <w:gridCol w:w="1575"/>
      </w:tblGrid>
      <w:tr>
        <w:tc>
          <w:tcPr>
            <w:tcW w:type="dxa" w:w="2772"/>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left"/>
            </w:pPr>
            <w:r>
              <w:rPr>
                <w:b/>
                <w:bCs/>
                <w:color w:val="FFFFFF"/>
              </w:rPr>
              <w:t xml:space="preserve">Archivo</w:t>
            </w:r>
          </w:p>
        </w:tc>
        <w:tc>
          <w:tcPr>
            <w:tcW w:type="dxa" w:w="1575"/>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 Stmts</w:t>
            </w:r>
          </w:p>
        </w:tc>
        <w:tc>
          <w:tcPr>
            <w:tcW w:type="dxa" w:w="1575"/>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 Branch</w:t>
            </w:r>
          </w:p>
        </w:tc>
        <w:tc>
          <w:tcPr>
            <w:tcW w:type="dxa" w:w="1575"/>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 Funcs</w:t>
            </w:r>
          </w:p>
        </w:tc>
        <w:tc>
          <w:tcPr>
            <w:tcW w:type="dxa" w:w="1575"/>
            <w:tcBorders>
              <w:top w:val="single" w:color="BFBFBF" w:sz="4"/>
              <w:left w:val="single" w:color="BFBFBF" w:sz="4"/>
              <w:bottom w:val="single" w:color="BFBFBF" w:sz="4"/>
              <w:right w:val="single" w:color="BFBFBF" w:sz="4"/>
            </w:tcBorders>
            <w:shd w:fill="1F4E79" w:val="clear"/>
            <w:tcMar>
              <w:top w:type="dxa" w:w="60"/>
              <w:left w:type="dxa" w:w="110"/>
              <w:bottom w:type="dxa" w:w="60"/>
              <w:right w:type="dxa" w:w="110"/>
            </w:tcMar>
            <w:vAlign w:val="center"/>
          </w:tcPr>
          <w:p>
            <w:pPr>
              <w:spacing w:line="252" w:lineRule="auto" w:after="0"/>
              <w:jc w:val="center"/>
            </w:pPr>
            <w:r>
              <w:rPr>
                <w:b/>
                <w:bCs/>
                <w:color w:val="FFFFFF"/>
              </w:rPr>
              <w:t xml:space="preserve">% Lines</w:t>
            </w:r>
          </w:p>
        </w:tc>
      </w:tr>
      <w:tr>
        <w:tc>
          <w:tcPr>
            <w:tcW w:type="dxa" w:w="2772"/>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left"/>
            </w:pPr>
            <w:r>
              <w:rPr>
                <w:b/>
                <w:bCs/>
                <w:sz w:val="22"/>
                <w:szCs w:val="22"/>
                <w:rFonts w:ascii="Arial" w:cs="Arial" w:eastAsia="Arial" w:hAnsi="Arial"/>
              </w:rPr>
              <w:t xml:space="preserve">All files</w:t>
            </w:r>
          </w:p>
        </w:tc>
        <w:tc>
          <w:tcPr>
            <w:tcW w:type="dxa" w:w="1575"/>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center"/>
            </w:pPr>
            <w:r>
              <w:rPr>
                <w:b/>
                <w:bCs/>
              </w:rPr>
              <w:t xml:space="preserve">73.15</w:t>
            </w:r>
          </w:p>
        </w:tc>
        <w:tc>
          <w:tcPr>
            <w:tcW w:type="dxa" w:w="1575"/>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center"/>
            </w:pPr>
            <w:r>
              <w:rPr>
                <w:b/>
                <w:bCs/>
              </w:rPr>
              <w:t xml:space="preserve">70.43</w:t>
            </w:r>
          </w:p>
        </w:tc>
        <w:tc>
          <w:tcPr>
            <w:tcW w:type="dxa" w:w="1575"/>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center"/>
            </w:pPr>
            <w:r>
              <w:rPr>
                <w:b/>
                <w:bCs/>
              </w:rPr>
              <w:t xml:space="preserve">41.46</w:t>
            </w:r>
          </w:p>
        </w:tc>
        <w:tc>
          <w:tcPr>
            <w:tcW w:type="dxa" w:w="1575"/>
            <w:tcBorders>
              <w:top w:val="single" w:color="BFBFBF" w:sz="4"/>
              <w:left w:val="single" w:color="BFBFBF" w:sz="4"/>
              <w:bottom w:val="single" w:color="BFBFBF" w:sz="4"/>
              <w:right w:val="single" w:color="BFBFBF" w:sz="4"/>
            </w:tcBorders>
            <w:shd w:fill="D6E4F0" w:val="clear"/>
            <w:tcMar>
              <w:top w:type="dxa" w:w="60"/>
              <w:left w:type="dxa" w:w="110"/>
              <w:bottom w:type="dxa" w:w="60"/>
              <w:right w:type="dxa" w:w="110"/>
            </w:tcMar>
            <w:vAlign w:val="center"/>
          </w:tcPr>
          <w:p>
            <w:pPr>
              <w:spacing w:line="252" w:lineRule="auto" w:after="0"/>
              <w:jc w:val="center"/>
            </w:pPr>
            <w:r>
              <w:rPr>
                <w:b/>
                <w:bCs/>
              </w:rPr>
              <w:t xml:space="preserve">72.85</w:t>
            </w:r>
          </w:p>
        </w:tc>
      </w:tr>
      <w:tr>
        <w:tc>
          <w:tcPr>
            <w:tcW w:type="dxa" w:w="27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pricing.js</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97.5</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r>
      <w:tr>
        <w:tc>
          <w:tcPr>
            <w:tcW w:type="dxa" w:w="27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payments.js</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92.30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80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92.30</w:t>
            </w:r>
          </w:p>
        </w:tc>
      </w:tr>
      <w:tr>
        <w:tc>
          <w:tcPr>
            <w:tcW w:type="dxa" w:w="27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comunas-chile.js</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r>
      <w:tr>
        <w:tc>
          <w:tcPr>
            <w:tcW w:type="dxa" w:w="27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rateLimit.js</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81.81</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r>
      <w:tr>
        <w:tc>
          <w:tcPr>
            <w:tcW w:type="dxa" w:w="27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reserva.service.js</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78.57</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100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50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78.57</w:t>
            </w:r>
          </w:p>
        </w:tc>
      </w:tr>
      <w:tr>
        <w:tc>
          <w:tcPr>
            <w:tcW w:type="dxa" w:w="2772"/>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left"/>
            </w:pPr>
            <w:r>
              <w:rPr>
                <w:b w:val="false"/>
                <w:bCs w:val="false"/>
                <w:sz w:val="18"/>
                <w:szCs w:val="18"/>
                <w:rFonts w:ascii="Consolas" w:cs="Consolas" w:eastAsia="Consolas" w:hAnsi="Consolas"/>
              </w:rPr>
              <w:t xml:space="preserve">api.js</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39.58</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25</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12.50</w:t>
            </w:r>
          </w:p>
        </w:tc>
        <w:tc>
          <w:tcPr>
            <w:tcW w:type="dxa" w:w="1575"/>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2" w:lineRule="auto" w:after="0"/>
              <w:jc w:val="center"/>
            </w:pPr>
            <w:r>
              <w:rPr>
                <w:b w:val="false"/>
                <w:bCs w:val="false"/>
              </w:rPr>
              <w:t xml:space="preserve">38.63</w:t>
            </w:r>
          </w:p>
        </w:tc>
      </w:tr>
    </w:tbl>
    <w:p>
      <w:pPr>
        <w:spacing w:line="360" w:lineRule="auto" w:after="120"/>
        <w:jc w:val="both"/>
      </w:pPr>
      <w:r>
        <w:t xml:space="preserve">La cobertura global es del 73.15 % de sentencias. La lógica de negocio (pricing, payments, comunas-chile, rateLimit) está prácticamente cubierta en su totalidad. El orquestador api.js presenta una cobertura menor (39.58 %) porque incorpora numerosas rutas y ramas de error que se ejercitan parcialmente; ampliarla es la principal oportunidad de mejora (ver sección 9).</w:t>
      </w:r>
    </w:p>
    <w:p>
      <w:pPr>
        <w:pStyle w:val="Heading1"/>
        <w:spacing w:before="320" w:after="160" w:line="276" w:lineRule="auto"/>
      </w:pPr>
      <w:r>
        <w:t xml:space="preserve">7. Evidencia de ejecución</w:t>
      </w:r>
    </w:p>
    <w:p>
      <w:pPr>
        <w:spacing w:line="360" w:lineRule="auto" w:after="120"/>
        <w:jc w:val="both"/>
      </w:pPr>
      <w:r>
        <w:t xml:space="preserve">A continuación se transcribe la salida real de la ejecución, de modo que el informe es autocontenido y verificable. Las capturas pueden regenerarse ejecutando los comandos de la sección 8.</w:t>
      </w:r>
    </w:p>
    <w:p>
      <w:pPr>
        <w:spacing w:before="120" w:after="60"/>
        <w:jc w:val="both"/>
      </w:pPr>
      <w:r>
        <w:rPr>
          <w:b/>
          <w:bCs/>
        </w:rPr>
        <w:t xml:space="preserve">Evidencia 1 — Suite Jest con cobertura (71 casos):</w:t>
      </w:r>
    </w:p>
    <w:p>
      <w:pPr>
        <w:pBdr>
          <w:top w:val="single" w:color="D9D9D9" w:sz="4" w:space="2"/>
          <w:left w:val="single" w:color="1F4E79" w:sz="12" w:space="6"/>
        </w:pBdr>
        <w:shd w:fill="F5F5F5" w:val="clear"/>
        <w:spacing w:line="240" w:lineRule="auto" w:after="0" w:before="0"/>
      </w:pPr>
      <w:r>
        <w:rPr>
          <w:sz w:val="18"/>
          <w:szCs w:val="18"/>
          <w:rFonts w:ascii="Consolas" w:cs="Consolas" w:eastAsia="Consolas" w:hAnsi="Consolas"/>
        </w:rPr>
        <w:t xml:space="preserve">PS (raiz)&gt; npx jest --coverage</w:t>
      </w:r>
    </w:p>
    <w:p>
      <w:pPr>
        <w:pBdr>
          <w:left w:val="single" w:color="1F4E79" w:sz="12" w:space="6"/>
        </w:pBdr>
        <w:shd w:fill="F5F5F5" w:val="clear"/>
        <w:spacing w:line="240" w:lineRule="auto" w:after="0" w:before="0"/>
      </w:pPr>
      <w:r>
        <w:rPr>
          <w:sz w:val="18"/>
          <w:szCs w:val="18"/>
          <w:rFonts w:ascii="Consolas" w:cs="Consolas" w:eastAsia="Consolas" w:hAnsi="Consolas"/>
        </w:rPr>
        <w:t xml:space="preserve">PASS  apps/web/tests/pricing.test.js</w:t>
      </w:r>
    </w:p>
    <w:p>
      <w:pPr>
        <w:pBdr>
          <w:left w:val="single" w:color="1F4E79" w:sz="12" w:space="6"/>
        </w:pBdr>
        <w:shd w:fill="F5F5F5" w:val="clear"/>
        <w:spacing w:line="240" w:lineRule="auto" w:after="0" w:before="0"/>
      </w:pPr>
      <w:r>
        <w:rPr>
          <w:sz w:val="18"/>
          <w:szCs w:val="18"/>
          <w:rFonts w:ascii="Consolas" w:cs="Consolas" w:eastAsia="Consolas" w:hAnsi="Consolas"/>
        </w:rPr>
        <w:t xml:space="preserve">PASS  apps/web/tests/payments.test.js</w:t>
      </w:r>
    </w:p>
    <w:p>
      <w:pPr>
        <w:pBdr>
          <w:left w:val="single" w:color="1F4E79" w:sz="12" w:space="6"/>
        </w:pBdr>
        <w:shd w:fill="F5F5F5" w:val="clear"/>
        <w:spacing w:line="240" w:lineRule="auto" w:after="0" w:before="0"/>
      </w:pPr>
      <w:r>
        <w:rPr>
          <w:sz w:val="18"/>
          <w:szCs w:val="18"/>
          <w:rFonts w:ascii="Consolas" w:cs="Consolas" w:eastAsia="Consolas" w:hAnsi="Consolas"/>
        </w:rPr>
        <w:t xml:space="preserve">PASS  apps/web/tests/geocoding.test.js</w:t>
      </w:r>
    </w:p>
    <w:p>
      <w:pPr>
        <w:pBdr>
          <w:left w:val="single" w:color="1F4E79" w:sz="12" w:space="6"/>
        </w:pBdr>
        <w:shd w:fill="F5F5F5" w:val="clear"/>
        <w:spacing w:line="240" w:lineRule="auto" w:after="0" w:before="0"/>
      </w:pPr>
      <w:r>
        <w:rPr>
          <w:sz w:val="18"/>
          <w:szCs w:val="18"/>
          <w:rFonts w:ascii="Consolas" w:cs="Consolas" w:eastAsia="Consolas" w:hAnsi="Consolas"/>
        </w:rPr>
        <w:t xml:space="preserve">PASS  apps/web/tests/rateLimit.test.js</w:t>
      </w:r>
    </w:p>
    <w:p>
      <w:pPr>
        <w:pBdr>
          <w:left w:val="single" w:color="1F4E79" w:sz="12" w:space="6"/>
        </w:pBdr>
        <w:shd w:fill="F5F5F5" w:val="clear"/>
        <w:spacing w:line="240" w:lineRule="auto" w:after="0" w:before="0"/>
      </w:pPr>
      <w:r>
        <w:rPr>
          <w:sz w:val="18"/>
          <w:szCs w:val="18"/>
          <w:rFonts w:ascii="Consolas" w:cs="Consolas" w:eastAsia="Consolas" w:hAnsi="Consolas"/>
        </w:rPr>
        <w:t xml:space="preserve">PASS  apps/web/tests/api.timeout.test.js</w:t>
      </w:r>
    </w:p>
    <w:p>
      <w:pPr>
        <w:pBdr>
          <w:left w:val="single" w:color="1F4E79" w:sz="12" w:space="6"/>
        </w:pBdr>
        <w:shd w:fill="F5F5F5" w:val="clear"/>
        <w:spacing w:line="240" w:lineRule="auto" w:after="0" w:before="0"/>
      </w:pPr>
      <w:r>
        <w:rPr>
          <w:sz w:val="18"/>
          <w:szCs w:val="18"/>
          <w:rFonts w:ascii="Consolas" w:cs="Consolas" w:eastAsia="Consolas" w:hAnsi="Consolas"/>
        </w:rPr>
        <w:t xml:space="preserve">PASS  apps/ms-reservas/tests/reserveService.test.js</w:t>
      </w:r>
    </w:p>
    <w:p>
      <w:pPr>
        <w:pBdr>
          <w:left w:val="single" w:color="1F4E79" w:sz="12" w:space="6"/>
        </w:pBdr>
        <w:shd w:fill="F5F5F5" w:val="clear"/>
        <w:spacing w:line="240" w:lineRule="auto" w:after="0" w:before="0"/>
      </w:pPr>
      <w:r>
        <w:rPr>
          <w:sz w:val="18"/>
          <w:szCs w:val="18"/>
          <w:rFonts w:ascii="Consolas" w:cs="Consolas" w:eastAsia="Consolas" w:hAnsi="Consolas"/>
        </w:rPr>
        <w:t xml:space="preserve">----------------------|---------|----------|---------|---------|</w:t>
      </w:r>
    </w:p>
    <w:p>
      <w:pPr>
        <w:pBdr>
          <w:left w:val="single" w:color="1F4E79" w:sz="12" w:space="6"/>
        </w:pBdr>
        <w:shd w:fill="F5F5F5" w:val="clear"/>
        <w:spacing w:line="240" w:lineRule="auto" w:after="0" w:before="0"/>
      </w:pPr>
      <w:r>
        <w:rPr>
          <w:sz w:val="18"/>
          <w:szCs w:val="18"/>
          <w:rFonts w:ascii="Consolas" w:cs="Consolas" w:eastAsia="Consolas" w:hAnsi="Consolas"/>
        </w:rPr>
        <w:t xml:space="preserve">File                  | % Stmts | % Branch | % Funcs | % Lines |</w:t>
      </w:r>
    </w:p>
    <w:p>
      <w:pPr>
        <w:pBdr>
          <w:left w:val="single" w:color="1F4E79" w:sz="12" w:space="6"/>
        </w:pBdr>
        <w:shd w:fill="F5F5F5" w:val="clear"/>
        <w:spacing w:line="240" w:lineRule="auto" w:after="0" w:before="0"/>
      </w:pPr>
      <w:r>
        <w:rPr>
          <w:sz w:val="18"/>
          <w:szCs w:val="18"/>
          <w:rFonts w:ascii="Consolas" w:cs="Consolas" w:eastAsia="Consolas" w:hAnsi="Consolas"/>
        </w:rPr>
        <w:t xml:space="preserve">----------------------|---------|----------|---------|---------|</w:t>
      </w:r>
    </w:p>
    <w:p>
      <w:pPr>
        <w:pBdr>
          <w:left w:val="single" w:color="1F4E79" w:sz="12" w:space="6"/>
        </w:pBdr>
        <w:shd w:fill="F5F5F5" w:val="clear"/>
        <w:spacing w:line="240" w:lineRule="auto" w:after="0" w:before="0"/>
      </w:pPr>
      <w:r>
        <w:rPr>
          <w:sz w:val="18"/>
          <w:szCs w:val="18"/>
          <w:rFonts w:ascii="Consolas" w:cs="Consolas" w:eastAsia="Consolas" w:hAnsi="Consolas"/>
        </w:rPr>
        <w:t xml:space="preserve">All files             |  73.15  |   70.43  |  41.46  |  72.85  |</w:t>
      </w:r>
    </w:p>
    <w:p>
      <w:pPr>
        <w:pBdr>
          <w:left w:val="single" w:color="1F4E79" w:sz="12" w:space="6"/>
        </w:pBdr>
        <w:shd w:fill="F5F5F5" w:val="clear"/>
        <w:spacing w:line="240" w:lineRule="auto" w:after="0" w:before="0"/>
      </w:pPr>
      <w:r>
        <w:rPr>
          <w:sz w:val="18"/>
          <w:szCs w:val="18"/>
          <w:rFonts w:ascii="Consolas" w:cs="Consolas" w:eastAsia="Consolas" w:hAnsi="Consolas"/>
        </w:rPr>
        <w:t xml:space="preserve">----------------------|---------|----------|---------|---------|</w:t>
      </w:r>
    </w:p>
    <w:p>
      <w:pPr>
        <w:pBdr>
          <w:left w:val="single" w:color="1F4E79" w:sz="12" w:space="6"/>
        </w:pBdr>
        <w:shd w:fill="F5F5F5" w:val="clear"/>
        <w:spacing w:line="240" w:lineRule="auto" w:after="0" w:before="0"/>
      </w:pPr>
      <w:r>
        <w:rPr>
          <w:sz w:val="18"/>
          <w:szCs w:val="18"/>
          <w:rFonts w:ascii="Consolas" w:cs="Consolas" w:eastAsia="Consolas" w:hAnsi="Consolas"/>
        </w:rPr>
        <w:t xml:space="preserve">Test Suites: 6 passed, 6 total</w:t>
      </w:r>
    </w:p>
    <w:p>
      <w:pPr>
        <w:pBdr>
          <w:bottom w:val="single" w:color="D9D9D9" w:sz="4" w:space="2"/>
          <w:left w:val="single" w:color="1F4E79" w:sz="12" w:space="6"/>
        </w:pBdr>
        <w:shd w:fill="F5F5F5" w:val="clear"/>
        <w:spacing w:line="240" w:lineRule="auto" w:after="0" w:before="0"/>
      </w:pPr>
      <w:r>
        <w:rPr>
          <w:sz w:val="18"/>
          <w:szCs w:val="18"/>
          <w:rFonts w:ascii="Consolas" w:cs="Consolas" w:eastAsia="Consolas" w:hAnsi="Consolas"/>
        </w:rPr>
        <w:t xml:space="preserve">Tests:       71 passed, 71 total</w:t>
      </w:r>
    </w:p>
    <w:p>
      <w:pPr>
        <w:spacing w:before="60" w:after="200"/>
      </w:pPr>
      <w:r>
        <w:rPr>
          <w:i/>
          <w:iCs/>
          <w:color w:val="595959"/>
          <w:sz w:val="18"/>
          <w:szCs w:val="18"/>
        </w:rPr>
        <w:t xml:space="preserve">Evidencia 1: 6 suites y 71 pruebas Jest aprobadas, con reporte de cobertura global 73.15 %.</w:t>
      </w:r>
    </w:p>
    <w:p>
      <w:pPr>
        <w:spacing w:before="120" w:after="60"/>
        <w:jc w:val="both"/>
      </w:pPr>
      <w:r>
        <w:rPr>
          <w:b/>
          <w:bCs/>
        </w:rPr>
        <w:t xml:space="preserve">Evidencia 2 — Integración del BFF (node:test, 6 casos):</w:t>
      </w:r>
    </w:p>
    <w:p>
      <w:pPr>
        <w:pBdr>
          <w:top w:val="single" w:color="D9D9D9" w:sz="4" w:space="2"/>
          <w:left w:val="single" w:color="1F4E79" w:sz="12" w:space="6"/>
        </w:pBdr>
        <w:shd w:fill="F5F5F5" w:val="clear"/>
        <w:spacing w:line="240" w:lineRule="auto" w:after="0" w:before="0"/>
      </w:pPr>
      <w:r>
        <w:rPr>
          <w:sz w:val="18"/>
          <w:szCs w:val="18"/>
          <w:rFonts w:ascii="Consolas" w:cs="Consolas" w:eastAsia="Consolas" w:hAnsi="Consolas"/>
        </w:rPr>
        <w:t xml:space="preserve">PS apps/web&gt; node --test tests/api.test.js</w:t>
      </w:r>
    </w:p>
    <w:p>
      <w:pPr>
        <w:pBdr>
          <w:left w:val="single" w:color="1F4E79" w:sz="12" w:space="6"/>
        </w:pBdr>
        <w:shd w:fill="F5F5F5" w:val="clear"/>
        <w:spacing w:line="240" w:lineRule="auto" w:after="0" w:before="0"/>
      </w:pPr>
      <w:r>
        <w:rPr>
          <w:sz w:val="18"/>
          <w:szCs w:val="18"/>
          <w:rFonts w:ascii="Consolas" w:cs="Consolas" w:eastAsia="Consolas" w:hAnsi="Consolas"/>
        </w:rPr>
        <w:t xml:space="preserve">ok 1 - BFF - Mapas: actualizar ocupacion correctamente</w:t>
      </w:r>
    </w:p>
    <w:p>
      <w:pPr>
        <w:pBdr>
          <w:left w:val="single" w:color="1F4E79" w:sz="12" w:space="6"/>
        </w:pBdr>
        <w:shd w:fill="F5F5F5" w:val="clear"/>
        <w:spacing w:line="240" w:lineRule="auto" w:after="0" w:before="0"/>
      </w:pPr>
      <w:r>
        <w:rPr>
          <w:sz w:val="18"/>
          <w:szCs w:val="18"/>
          <w:rFonts w:ascii="Consolas" w:cs="Consolas" w:eastAsia="Consolas" w:hAnsi="Consolas"/>
        </w:rPr>
        <w:t xml:space="preserve">ok 2 - BFF - Mapas: falla al exceder capacidad en PATCH</w:t>
      </w:r>
    </w:p>
    <w:p>
      <w:pPr>
        <w:pBdr>
          <w:left w:val="single" w:color="1F4E79" w:sz="12" w:space="6"/>
        </w:pBdr>
        <w:shd w:fill="F5F5F5" w:val="clear"/>
        <w:spacing w:line="240" w:lineRule="auto" w:after="0" w:before="0"/>
      </w:pPr>
      <w:r>
        <w:rPr>
          <w:sz w:val="18"/>
          <w:szCs w:val="18"/>
          <w:rFonts w:ascii="Consolas" w:cs="Consolas" w:eastAsia="Consolas" w:hAnsi="Consolas"/>
        </w:rPr>
        <w:t xml:space="preserve">ok 3 - BFF - Reservas: verificar disponibilidad (plaza libre)</w:t>
      </w:r>
    </w:p>
    <w:p>
      <w:pPr>
        <w:pBdr>
          <w:left w:val="single" w:color="1F4E79" w:sz="12" w:space="6"/>
        </w:pBdr>
        <w:shd w:fill="F5F5F5" w:val="clear"/>
        <w:spacing w:line="240" w:lineRule="auto" w:after="0" w:before="0"/>
      </w:pPr>
      <w:r>
        <w:rPr>
          <w:sz w:val="18"/>
          <w:szCs w:val="18"/>
          <w:rFonts w:ascii="Consolas" w:cs="Consolas" w:eastAsia="Consolas" w:hAnsi="Consolas"/>
        </w:rPr>
        <w:t xml:space="preserve">ok 4 - BFF - Reservas: verificar disponibilidad (plaza llena)</w:t>
      </w:r>
    </w:p>
    <w:p>
      <w:pPr>
        <w:pBdr>
          <w:left w:val="single" w:color="1F4E79" w:sz="12" w:space="6"/>
        </w:pBdr>
        <w:shd w:fill="F5F5F5" w:val="clear"/>
        <w:spacing w:line="240" w:lineRule="auto" w:after="0" w:before="0"/>
      </w:pPr>
      <w:r>
        <w:rPr>
          <w:sz w:val="18"/>
          <w:szCs w:val="18"/>
          <w:rFonts w:ascii="Consolas" w:cs="Consolas" w:eastAsia="Consolas" w:hAnsi="Consolas"/>
        </w:rPr>
        <w:t xml:space="preserve">ok 5 - BFF - Reservas: crear reserva con exito</w:t>
      </w:r>
    </w:p>
    <w:p>
      <w:pPr>
        <w:pBdr>
          <w:left w:val="single" w:color="1F4E79" w:sz="12" w:space="6"/>
        </w:pBdr>
        <w:shd w:fill="F5F5F5" w:val="clear"/>
        <w:spacing w:line="240" w:lineRule="auto" w:after="0" w:before="0"/>
      </w:pPr>
      <w:r>
        <w:rPr>
          <w:sz w:val="18"/>
          <w:szCs w:val="18"/>
          <w:rFonts w:ascii="Consolas" w:cs="Consolas" w:eastAsia="Consolas" w:hAnsi="Consolas"/>
        </w:rPr>
        <w:t xml:space="preserve">ok 6 - BFF - Reservas: maneja error si falla la creacion</w:t>
      </w:r>
    </w:p>
    <w:p>
      <w:pPr>
        <w:pBdr>
          <w:bottom w:val="single" w:color="D9D9D9" w:sz="4" w:space="2"/>
          <w:left w:val="single" w:color="1F4E79" w:sz="12" w:space="6"/>
        </w:pBdr>
        <w:shd w:fill="F5F5F5" w:val="clear"/>
        <w:spacing w:line="240" w:lineRule="auto" w:after="0" w:before="0"/>
      </w:pPr>
      <w:r>
        <w:rPr>
          <w:sz w:val="18"/>
          <w:szCs w:val="18"/>
          <w:rFonts w:ascii="Consolas" w:cs="Consolas" w:eastAsia="Consolas" w:hAnsi="Consolas"/>
        </w:rPr>
        <w:t xml:space="preserve">i tests 6   |   i pass 6   |   i fail 0</w:t>
      </w:r>
    </w:p>
    <w:p>
      <w:pPr>
        <w:spacing w:before="60" w:after="200"/>
      </w:pPr>
      <w:r>
        <w:rPr>
          <w:i/>
          <w:iCs/>
          <w:color w:val="595959"/>
          <w:sz w:val="18"/>
          <w:szCs w:val="18"/>
        </w:rPr>
        <w:t xml:space="preserve">Evidencia 2: 6/6 pruebas del BFF aprobadas (node:test).</w:t>
      </w:r>
    </w:p>
    <w:p>
      <w:pPr>
        <w:pStyle w:val="Heading1"/>
        <w:spacing w:before="320" w:after="160" w:line="276" w:lineRule="auto"/>
      </w:pPr>
      <w:r>
        <w:t xml:space="preserve">8. Cómo reproducir las pruebas</w:t>
      </w:r>
    </w:p>
    <w:p>
      <w:pPr>
        <w:spacing w:line="360" w:lineRule="auto" w:after="120"/>
        <w:jc w:val="both"/>
      </w:pPr>
      <w:r>
        <w:t xml:space="preserve">Desde la raíz del monorepo, tras instalar las dependencias, las pruebas se reproducen con los siguientes comandos:</w:t>
      </w:r>
    </w:p>
    <w:p>
      <w:pPr>
        <w:pBdr>
          <w:top w:val="single" w:color="D9D9D9" w:sz="4" w:space="2"/>
          <w:left w:val="single" w:color="1F4E79" w:sz="12" w:space="6"/>
        </w:pBdr>
        <w:shd w:fill="F5F5F5" w:val="clear"/>
        <w:spacing w:line="240" w:lineRule="auto" w:after="0" w:before="0"/>
      </w:pPr>
      <w:r>
        <w:rPr>
          <w:sz w:val="18"/>
          <w:szCs w:val="18"/>
          <w:rFonts w:ascii="Consolas" w:cs="Consolas" w:eastAsia="Consolas" w:hAnsi="Consolas"/>
        </w:rPr>
        <w:t xml:space="preserve"># Instalar dependencias (una sola vez)</w:t>
      </w:r>
    </w:p>
    <w:p>
      <w:pPr>
        <w:pBdr>
          <w:left w:val="single" w:color="1F4E79" w:sz="12" w:space="6"/>
        </w:pBdr>
        <w:shd w:fill="F5F5F5" w:val="clear"/>
        <w:spacing w:line="240" w:lineRule="auto" w:after="0" w:before="0"/>
      </w:pPr>
      <w:r>
        <w:rPr>
          <w:sz w:val="18"/>
          <w:szCs w:val="18"/>
          <w:rFonts w:ascii="Consolas" w:cs="Consolas" w:eastAsia="Consolas" w:hAnsi="Consolas"/>
        </w:rPr>
        <w:t xml:space="preserve">npm install</w:t>
      </w:r>
    </w:p>
    <w:p>
      <w:pPr>
        <w:pBdr>
          <w:left w:val="single" w:color="1F4E79" w:sz="12" w:space="6"/>
        </w:pBdr>
        <w:shd w:fill="F5F5F5" w:val="clear"/>
        <w:spacing w:line="240" w:lineRule="auto" w:after="0" w:before="0"/>
      </w:pPr>
      <w:r>
        <w:rPr>
          <w:sz w:val="18"/>
          <w:szCs w:val="18"/>
          <w:rFonts w:ascii="Consolas" w:cs="Consolas" w:eastAsia="Consolas" w:hAnsi="Consolas"/>
        </w:rPr>
        <w:t xml:space="preserve"> </w:t>
      </w:r>
    </w:p>
    <w:p>
      <w:pPr>
        <w:pBdr>
          <w:left w:val="single" w:color="1F4E79" w:sz="12" w:space="6"/>
        </w:pBdr>
        <w:shd w:fill="F5F5F5" w:val="clear"/>
        <w:spacing w:line="240" w:lineRule="auto" w:after="0" w:before="0"/>
      </w:pPr>
      <w:r>
        <w:rPr>
          <w:sz w:val="18"/>
          <w:szCs w:val="18"/>
          <w:rFonts w:ascii="Consolas" w:cs="Consolas" w:eastAsia="Consolas" w:hAnsi="Consolas"/>
        </w:rPr>
        <w:t xml:space="preserve"># 1) Suite de negocio, dominio y resiliencia (Jest) + cobertura -&gt; 71 pruebas</w:t>
      </w:r>
    </w:p>
    <w:p>
      <w:pPr>
        <w:pBdr>
          <w:left w:val="single" w:color="1F4E79" w:sz="12" w:space="6"/>
        </w:pBdr>
        <w:shd w:fill="F5F5F5" w:val="clear"/>
        <w:spacing w:line="240" w:lineRule="auto" w:after="0" w:before="0"/>
      </w:pPr>
      <w:r>
        <w:rPr>
          <w:sz w:val="18"/>
          <w:szCs w:val="18"/>
          <w:rFonts w:ascii="Consolas" w:cs="Consolas" w:eastAsia="Consolas" w:hAnsi="Consolas"/>
        </w:rPr>
        <w:t xml:space="preserve">npx jest --coverage   # genera coverage/lcov-report/index.html</w:t>
      </w:r>
    </w:p>
    <w:p>
      <w:pPr>
        <w:pBdr>
          <w:left w:val="single" w:color="1F4E79" w:sz="12" w:space="6"/>
        </w:pBdr>
        <w:shd w:fill="F5F5F5" w:val="clear"/>
        <w:spacing w:line="240" w:lineRule="auto" w:after="0" w:before="0"/>
      </w:pPr>
      <w:r>
        <w:rPr>
          <w:sz w:val="18"/>
          <w:szCs w:val="18"/>
          <w:rFonts w:ascii="Consolas" w:cs="Consolas" w:eastAsia="Consolas" w:hAnsi="Consolas"/>
        </w:rPr>
        <w:t xml:space="preserve"> </w:t>
      </w:r>
    </w:p>
    <w:p>
      <w:pPr>
        <w:pBdr>
          <w:left w:val="single" w:color="1F4E79" w:sz="12" w:space="6"/>
        </w:pBdr>
        <w:shd w:fill="F5F5F5" w:val="clear"/>
        <w:spacing w:line="240" w:lineRule="auto" w:after="0" w:before="0"/>
      </w:pPr>
      <w:r>
        <w:rPr>
          <w:sz w:val="18"/>
          <w:szCs w:val="18"/>
          <w:rFonts w:ascii="Consolas" w:cs="Consolas" w:eastAsia="Consolas" w:hAnsi="Consolas"/>
        </w:rPr>
        <w:t xml:space="preserve"># 2) Integracion del BFF (node:test) -&gt; 6 pruebas</w:t>
      </w:r>
    </w:p>
    <w:p>
      <w:pPr>
        <w:pBdr>
          <w:left w:val="single" w:color="1F4E79" w:sz="12" w:space="6"/>
        </w:pBdr>
        <w:shd w:fill="F5F5F5" w:val="clear"/>
        <w:spacing w:line="240" w:lineRule="auto" w:after="0" w:before="0"/>
      </w:pPr>
      <w:r>
        <w:rPr>
          <w:sz w:val="18"/>
          <w:szCs w:val="18"/>
          <w:rFonts w:ascii="Consolas" w:cs="Consolas" w:eastAsia="Consolas" w:hAnsi="Consolas"/>
        </w:rPr>
        <w:t xml:space="preserve">cd apps/web</w:t>
      </w:r>
    </w:p>
    <w:p>
      <w:pPr>
        <w:pBdr>
          <w:bottom w:val="single" w:color="D9D9D9" w:sz="4" w:space="2"/>
          <w:left w:val="single" w:color="1F4E79" w:sz="12" w:space="6"/>
        </w:pBdr>
        <w:shd w:fill="F5F5F5" w:val="clear"/>
        <w:spacing w:line="240" w:lineRule="auto" w:after="0" w:before="0"/>
      </w:pPr>
      <w:r>
        <w:rPr>
          <w:sz w:val="18"/>
          <w:szCs w:val="18"/>
          <w:rFonts w:ascii="Consolas" w:cs="Consolas" w:eastAsia="Consolas" w:hAnsi="Consolas"/>
        </w:rPr>
        <w:t xml:space="preserve">npm test              # ejecuta: node --test tests/api.test.js</w:t>
      </w:r>
    </w:p>
    <w:p>
      <w:pPr>
        <w:spacing w:line="360" w:lineRule="auto" w:after="120"/>
        <w:jc w:val="both"/>
      </w:pPr>
      <w:r>
        <w:t xml:space="preserve">El reporte HTML de cobertura queda disponible en </w:t>
      </w:r>
      <w:r>
        <w:rPr>
          <w:sz w:val="20"/>
          <w:szCs w:val="20"/>
          <w:rFonts w:ascii="Consolas" w:cs="Consolas" w:eastAsia="Consolas" w:hAnsi="Consolas"/>
        </w:rPr>
        <w:t xml:space="preserve">coverage/lcov-report/index.html</w:t>
      </w:r>
      <w:r>
        <w:t xml:space="preserve"> para su revisión en el navegador.</w:t>
      </w:r>
    </w:p>
    <w:p>
      <w:pPr>
        <w:pStyle w:val="Heading1"/>
        <w:spacing w:before="320" w:after="160" w:line="276" w:lineRule="auto"/>
      </w:pPr>
      <w:r>
        <w:t xml:space="preserve">9. Alcance, limitaciones y mejoras futuras</w:t>
      </w:r>
    </w:p>
    <w:p>
      <w:pPr>
        <w:spacing w:line="360" w:lineRule="auto" w:after="120"/>
        <w:jc w:val="both"/>
      </w:pPr>
      <w:r>
        <w:t xml:space="preserve">En aras de la transparencia, se documentan los límites actuales y las líneas de trabajo recomendadas:</w:t>
      </w:r>
    </w:p>
    <w:p>
      <w:pPr>
        <w:pStyle w:val="ListParagraph"/>
        <w:numPr>
          <w:ilvl w:val="0"/>
          <w:numId w:val="1"/>
        </w:numPr>
        <w:spacing w:line="360" w:lineRule="auto" w:after="120"/>
        <w:jc w:val="both"/>
      </w:pPr>
      <w:r>
        <w:t xml:space="preserve">La cobertura del orquestador api.js (39.58 % de sentencias, 12.5 % de funciones) es baja porque concentra numerosas rutas (favoritos, pagos, premium, reseñas, soporte) que aún no tienen pruebas dedicadas. Es la principal oportunidad de mejora.</w:t>
      </w:r>
    </w:p>
    <w:p>
      <w:pPr>
        <w:pStyle w:val="ListParagraph"/>
        <w:numPr>
          <w:ilvl w:val="0"/>
          <w:numId w:val="1"/>
        </w:numPr>
        <w:spacing w:line="360" w:lineRule="auto" w:after="120"/>
        <w:jc w:val="both"/>
      </w:pPr>
      <w:r>
        <w:t xml:space="preserve">Se recomienda añadir pruebas de contrato para el resto de las rutas del BFF, de modo de elevar la cobertura de funciones por encima del 60 % en todos los componentes.</w:t>
      </w:r>
    </w:p>
    <w:p>
      <w:pPr>
        <w:pStyle w:val="ListParagraph"/>
        <w:numPr>
          <w:ilvl w:val="0"/>
          <w:numId w:val="1"/>
        </w:numPr>
        <w:spacing w:line="360" w:lineRule="auto" w:after="120"/>
        <w:jc w:val="both"/>
      </w:pPr>
      <w:r>
        <w:t xml:space="preserve">Se recomienda incorporar pruebas de extremo a extremo (end-to-end) del flujo de reserva completo, una vez disponible un entorno de integración con base de datos de prueba.</w:t>
      </w:r>
    </w:p>
    <w:p>
      <w:pPr>
        <w:pStyle w:val="Heading1"/>
        <w:spacing w:before="320" w:after="160" w:line="276" w:lineRule="auto"/>
      </w:pPr>
      <w:r>
        <w:t xml:space="preserve">10. Conclusiones</w:t>
      </w:r>
    </w:p>
    <w:p>
      <w:pPr>
        <w:spacing w:line="360" w:lineRule="auto" w:after="120"/>
        <w:jc w:val="both"/>
      </w:pPr>
      <w:r>
        <w:t xml:space="preserve">Las 77 pruebas automatizadas se ejecutan de forma satisfactoria (100 % aprobadas), de manera determinista y sin dependencias externas, validando los componentes centrales del sistema.</w:t>
      </w:r>
    </w:p>
    <w:p>
      <w:pPr>
        <w:spacing w:line="360" w:lineRule="auto" w:after="120"/>
        <w:jc w:val="both"/>
      </w:pPr>
      <w:r>
        <w:t xml:space="preserve">La lógica crítica de negocio está muy cubierta: precios, pagos, geocodificación y limitación de peticiones alcanzan cobertura cercana al 100 %. La robustez transaccional queda demostrada: la Saga del microservicio de reservas valida la capacidad (CQRS) y revierte ante fallos (compensación, con ramas al 100 %), y el orquestador (BFF) gestiona de forma controlada los errores y la latencia mediante timeout y respuesta de respaldo.</w:t>
      </w:r>
    </w:p>
    <w:p>
      <w:pPr>
        <w:spacing w:line="360" w:lineRule="auto" w:after="120"/>
        <w:jc w:val="both"/>
      </w:pPr>
      <w:r>
        <w:t xml:space="preserve">En conjunto, la batería de pruebas constituye evidencia objetiva de que los componentes centrales de Parkings Together se comportan según lo esperado y quedan protegidos ante regresiones, dejando una base clara para ampliar la cobertura a las áreas señaladas en la sección 9.</w:t>
      </w:r>
    </w:p>
    <w:sectPr>
      <w:headerReference w:type="default" r:id="rId6"/>
      <w:footerReference w:type="default" r:id="rId7"/>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Parkings Together · Informe de pruebas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FD4EA" w:sz="6" w:space="4"/>
      </w:pBdr>
      <w:spacing w:before="320" w:after="160"/>
      <w:outlineLvl w:val="0"/>
    </w:pPr>
    <w:rPr>
      <w:b/>
      <w:bCs/>
      <w:color w:val="1F4E79"/>
      <w:sz w:val="30"/>
      <w:szCs w:val="30"/>
      <w:rFonts w:ascii="Arial" w:cs="Arial" w:eastAsia="Arial" w:hAnsi="Arial"/>
    </w:rPr>
  </w:style>
  <w:style w:type="paragraph" w:styleId="Heading2">
    <w:name w:val="Heading 2"/>
    <w:basedOn w:val="Normal"/>
    <w:next w:val="Normal"/>
    <w:qFormat/>
    <w:pPr>
      <w:spacing w:before="220" w:after="120"/>
      <w:outlineLvl w:val="1"/>
    </w:pPr>
    <w:rPr>
      <w:b/>
      <w:bCs/>
      <w:color w:val="2E5B8A"/>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 Parkings Together</dc:title>
  <dc:creator>Equipo Parkings Together</dc:creator>
  <dc:description>Informe de pruebas de software</dc:description>
  <cp:lastModifiedBy>Un-named</cp:lastModifiedBy>
  <cp:revision>1</cp:revision>
  <dcterms:created xsi:type="dcterms:W3CDTF">2026-06-12T22:43:59.131Z</dcterms:created>
  <dcterms:modified xsi:type="dcterms:W3CDTF">2026-06-12T22:43:59.131Z</dcterms:modified>
</cp:coreProperties>
</file>

<file path=docProps/custom.xml><?xml version="1.0" encoding="utf-8"?>
<Properties xmlns="http://schemas.openxmlformats.org/officeDocument/2006/custom-properties" xmlns:vt="http://schemas.openxmlformats.org/officeDocument/2006/docPropsVTypes"/>
</file>