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1400"/>
      </w:pPr>
    </w:p>
    <w:p>
      <w:pPr>
        <w:spacing w:after="80"/>
        <w:jc w:val="center"/>
      </w:pPr>
      <w:r>
        <w:rPr>
          <w:b/>
          <w:bCs/>
          <w:color w:val="1F4E79"/>
          <w:sz w:val="26"/>
          <w:szCs w:val="26"/>
          <w:caps/>
        </w:rPr>
        <w:t xml:space="preserve">INFORME DE PRUEBAS DE SOFTWARE</w:t>
      </w:r>
    </w:p>
    <w:p>
      <w:pPr>
        <w:pBdr>
          <w:bottom w:val="single" w:color="1F4E79" w:sz="12" w:space="6"/>
        </w:pBdr>
        <w:spacing w:after="360"/>
        <w:jc w:val="center"/>
      </w:pPr>
      <w:r>
        <w:rPr>
          <w:color w:val="595959"/>
          <w:sz w:val="22"/>
          <w:szCs w:val="22"/>
        </w:rPr>
        <w:t xml:space="preserve">Pruebas unitarias y de integración</w:t>
      </w:r>
    </w:p>
    <w:p>
      <w:pPr>
        <w:spacing w:before="200" w:after="60"/>
        <w:jc w:val="center"/>
      </w:pPr>
      <w:r>
        <w:rPr>
          <w:b/>
          <w:bCs/>
          <w:color w:val="222222"/>
          <w:sz w:val="56"/>
          <w:szCs w:val="56"/>
        </w:rPr>
        <w:t xml:space="preserve">Parkings Together</w:t>
      </w:r>
    </w:p>
    <w:p>
      <w:pPr>
        <w:spacing w:after="700"/>
        <w:jc w:val="center"/>
      </w:pPr>
      <w:r>
        <w:rPr>
          <w:color w:val="595959"/>
          <w:sz w:val="24"/>
          <w:szCs w:val="24"/>
        </w:rPr>
        <w:t xml:space="preserve">Marketplace P2P de estacionamientos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600"/>
        <w:gridCol w:w="6472"/>
      </w:tblGrid>
      <w:tr>
        <w:tc>
          <w:tcPr>
            <w:tcW w:type="dxa" w:w="26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rPr>
              <w:t xml:space="preserve">Documento</w:t>
            </w:r>
          </w:p>
        </w:tc>
        <w:tc>
          <w:tcPr>
            <w:tcW w:type="dxa" w:w="64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Informe de pruebas de software</w:t>
            </w:r>
          </w:p>
        </w:tc>
      </w:tr>
      <w:tr>
        <w:tc>
          <w:tcPr>
            <w:tcW w:type="dxa" w:w="26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rPr>
              <w:t xml:space="preserve">Proyecto</w:t>
            </w:r>
          </w:p>
        </w:tc>
        <w:tc>
          <w:tcPr>
            <w:tcW w:type="dxa" w:w="64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Parkings Together — Marketplace P2P de estacionamientos</w:t>
            </w:r>
          </w:p>
        </w:tc>
      </w:tr>
      <w:tr>
        <w:tc>
          <w:tcPr>
            <w:tcW w:type="dxa" w:w="26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rPr>
              <w:t xml:space="preserve">Versión</w:t>
            </w:r>
          </w:p>
        </w:tc>
        <w:tc>
          <w:tcPr>
            <w:tcW w:type="dxa" w:w="64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1.0</w:t>
            </w:r>
          </w:p>
        </w:tc>
      </w:tr>
      <w:tr>
        <w:tc>
          <w:tcPr>
            <w:tcW w:type="dxa" w:w="26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rPr>
              <w:t xml:space="preserve">Fecha</w:t>
            </w:r>
          </w:p>
        </w:tc>
        <w:tc>
          <w:tcPr>
            <w:tcW w:type="dxa" w:w="64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12 de junio de 2026</w:t>
            </w:r>
          </w:p>
        </w:tc>
      </w:tr>
      <w:tr>
        <w:tc>
          <w:tcPr>
            <w:tcW w:type="dxa" w:w="26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rPr>
              <w:t xml:space="preserve">Asignatura</w:t>
            </w:r>
          </w:p>
        </w:tc>
        <w:tc>
          <w:tcPr>
            <w:tcW w:type="dxa" w:w="64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________________________________________</w:t>
            </w:r>
          </w:p>
        </w:tc>
      </w:tr>
      <w:tr>
        <w:tc>
          <w:tcPr>
            <w:tcW w:type="dxa" w:w="26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rPr>
              <w:t xml:space="preserve">Docente</w:t>
            </w:r>
          </w:p>
        </w:tc>
        <w:tc>
          <w:tcPr>
            <w:tcW w:type="dxa" w:w="64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________________________________________</w:t>
            </w:r>
          </w:p>
        </w:tc>
      </w:tr>
      <w:tr>
        <w:tc>
          <w:tcPr>
            <w:tcW w:type="dxa" w:w="26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rPr>
              <w:t xml:space="preserve">Integrantes</w:t>
            </w:r>
          </w:p>
        </w:tc>
        <w:tc>
          <w:tcPr>
            <w:tcW w:type="dxa" w:w="64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________________________________________</w:t>
            </w:r>
          </w:p>
        </w:tc>
      </w:tr>
      <w:tr>
        <w:tc>
          <w:tcPr>
            <w:tcW w:type="dxa" w:w="26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rPr>
              <w:t xml:space="preserve">Resultado global</w:t>
            </w:r>
          </w:p>
        </w:tc>
        <w:tc>
          <w:tcPr>
            <w:tcW w:type="dxa" w:w="64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10 / 10 pruebas aprobadas (100 %)</w:t>
            </w:r>
          </w:p>
        </w:tc>
      </w:tr>
    </w:tbl>
    <w:p>
      <w:pPr>
        <w:sectPr>
          <w:pgSz w:w="11906" w:h="16838" w:orient="portrait"/>
          <w:pgMar w:top="1417" w:right="1417" w:bottom="1417" w:left="1417" w:header="708" w:footer="708" w:gutter="0"/>
          <w:pgNumType/>
          <w:docGrid w:linePitch="360"/>
        </w:sectPr>
      </w:pPr>
    </w:p>
    <w:p>
      <w:pPr>
        <w:spacing w:after="160"/>
      </w:pPr>
      <w:r>
        <w:rPr>
          <w:b/>
          <w:bCs/>
          <w:color w:val="1F4E79"/>
          <w:sz w:val="28"/>
          <w:szCs w:val="28"/>
        </w:rPr>
        <w:t xml:space="preserve">Tabla de contenido</w:t>
      </w:r>
    </w:p>
    <w:sdt>
      <w:sdtPr>
        <w:alias w:val="Tabla de contenido"/>
      </w:sdtPr>
      <w:sdtContent>
        <w:p>
          <w:r>
            <w:fldChar w:fldCharType="begin" w:dirty="true"/>
            <w:instrText xml:space="preserve">TOC \h \o "1-2"</w:instrText>
            <w:fldChar w:fldCharType="separate"/>
          </w:r>
        </w:p>
        <w:p>
          <w:r>
            <w:fldChar w:fldCharType="end"/>
          </w:r>
        </w:p>
      </w:sdtContent>
    </w:sdt>
    <w:p>
      <w:pPr>
        <w:spacing w:before="120"/>
      </w:pPr>
      <w:r>
        <w:rPr>
          <w:i/>
          <w:iCs/>
          <w:color w:val="808080"/>
          <w:sz w:val="18"/>
          <w:szCs w:val="18"/>
        </w:rPr>
        <w:t xml:space="preserve">Nota: en Microsoft Word, haga clic derecho sobre el índice y seleccione «Actualizar campos» para numerar las páginas.</w:t>
      </w:r>
    </w:p>
    <w:p>
      <w:r>
        <w:br w:type="page"/>
      </w:r>
    </w:p>
    <w:p>
      <w:pPr>
        <w:pStyle w:val="Heading1"/>
        <w:spacing w:before="320" w:after="160" w:line="276" w:lineRule="auto"/>
      </w:pPr>
      <w:r>
        <w:t xml:space="preserve">1. Introducción y objetivo</w:t>
      </w:r>
    </w:p>
    <w:p>
      <w:pPr>
        <w:spacing w:line="360" w:lineRule="auto" w:after="120"/>
        <w:jc w:val="both"/>
      </w:pPr>
      <w:r>
        <w:t xml:space="preserve">El presente informe documenta las pruebas automatizadas implementadas para el proyecto Parkings Together, una plataforma tipo marketplace de intermediación (P2P) para el arriendo de estacionamientos entre particulares. El objetivo es verificar, mediante pruebas reproducibles, que la lógica de negocio crítica y los contratos de las interfaces (API) del sistema se comportan según lo esperado y se mantienen estables ante cambios.</w:t>
      </w:r>
    </w:p>
    <w:p>
      <w:pPr>
        <w:spacing w:line="360" w:lineRule="auto" w:after="120"/>
        <w:jc w:val="both"/>
      </w:pPr>
      <w:r>
        <w:t xml:space="preserve">Las pruebas se ejecutan de forma aislada, sin depender de servicios externos: tanto la base de datos como la red se sustituyen por dobles de prueba (mocks). De este modo, las pruebas son rápidas, deterministas y reproducibles en cualquier entorno, lo que las hace aptas como evidencia objetiva de la calidad del software.</w:t>
      </w:r>
    </w:p>
    <w:p>
      <w:pPr>
        <w:pStyle w:val="Heading1"/>
        <w:spacing w:before="320" w:after="160" w:line="276" w:lineRule="auto"/>
      </w:pPr>
      <w:r>
        <w:t xml:space="preserve">2. Alcance y entorno de pruebas</w:t>
      </w:r>
    </w:p>
    <w:p>
      <w:pPr>
        <w:spacing w:line="360" w:lineRule="auto" w:after="120"/>
        <w:jc w:val="both"/>
      </w:pPr>
      <w:r>
        <w:t xml:space="preserve">El alcance de esta batería de pruebas cubre la lógica de dominio del microservicio de reservas (patrón Saga con compensación y control de capacidad bajo CQRS) y el contrato del orquestador de servicios (BFF) que el frontend consume mediante rutas de mismo origen. La siguiente tabla resume el entorno técnico utilizado.</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00"/>
        <w:gridCol w:w="6072"/>
      </w:tblGrid>
      <w:tr>
        <w:tc>
          <w:tcPr>
            <w:tcW w:type="dxa" w:w="30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Aspecto</w:t>
            </w:r>
          </w:p>
        </w:tc>
        <w:tc>
          <w:tcPr>
            <w:tcW w:type="dxa" w:w="6072"/>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Detalle</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bCs/>
              </w:rPr>
              <w:t xml:space="preserve">Lenguaje / runtime</w:t>
            </w:r>
          </w:p>
        </w:tc>
        <w:tc>
          <w:tcPr>
            <w:tcW w:type="dxa" w:w="60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JavaScript · Node.js (v24; requiere ≥ 22)</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bCs/>
              </w:rPr>
              <w:t xml:space="preserve">Pruebas de integración (BFF)</w:t>
            </w:r>
          </w:p>
        </w:tc>
        <w:tc>
          <w:tcPr>
            <w:tcW w:type="dxa" w:w="60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node:test — runner de pruebas nativo de Node.js</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bCs/>
              </w:rPr>
              <w:t xml:space="preserve">Pruebas unitarias y de dominio</w:t>
            </w:r>
          </w:p>
        </w:tc>
        <w:tc>
          <w:tcPr>
            <w:tcW w:type="dxa" w:w="60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Jest (babel-jest para módulos ESM)</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bCs/>
              </w:rPr>
              <w:t xml:space="preserve">Cobertura de código</w:t>
            </w:r>
          </w:p>
        </w:tc>
        <w:tc>
          <w:tcPr>
            <w:tcW w:type="dxa" w:w="60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Istanbul (reporte de texto y HTML lcov-report)</w:t>
            </w:r>
          </w:p>
        </w:tc>
      </w:tr>
      <w:tr>
        <w:tc>
          <w:tcPr>
            <w:tcW w:type="dxa" w:w="30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bCs/>
              </w:rPr>
              <w:t xml:space="preserve">Aislamiento</w:t>
            </w:r>
          </w:p>
        </w:tc>
        <w:tc>
          <w:tcPr>
            <w:tcW w:type="dxa" w:w="60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Mock de fetch global y mock de repositorio (jest.mock): sin base de datos ni red reales</w:t>
            </w:r>
          </w:p>
        </w:tc>
      </w:tr>
      <w:tr>
        <w:tc>
          <w:tcPr>
            <w:tcW w:type="dxa" w:w="30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bCs/>
              </w:rPr>
              <w:t xml:space="preserve">Ubicación de las pruebas</w:t>
            </w:r>
          </w:p>
        </w:tc>
        <w:tc>
          <w:tcPr>
            <w:tcW w:type="dxa" w:w="60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apps/web/tests/ y apps/ms-reservas/tests/</w:t>
            </w:r>
          </w:p>
        </w:tc>
      </w:tr>
    </w:tbl>
    <w:p>
      <w:pPr>
        <w:pStyle w:val="Heading1"/>
        <w:spacing w:before="320" w:after="160" w:line="276" w:lineRule="auto"/>
      </w:pPr>
      <w:r>
        <w:t xml:space="preserve">3. Estrategia y tipos de prueba</w:t>
      </w:r>
    </w:p>
    <w:p>
      <w:pPr>
        <w:spacing w:line="360" w:lineRule="auto" w:after="120"/>
        <w:jc w:val="both"/>
      </w:pPr>
      <w:r>
        <w:t xml:space="preserve">Se aplicó una estrategia mixta que combina pruebas unitarias de dominio con pruebas de integración del contrato de las interfaces. Cada tipo de prueba valida una preocupación distinta del sistema:</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2300"/>
        <w:gridCol w:w="4372"/>
        <w:gridCol w:w="2400"/>
      </w:tblGrid>
      <w:tr>
        <w:tc>
          <w:tcPr>
            <w:tcW w:type="dxa" w:w="23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Tipo</w:t>
            </w:r>
          </w:p>
        </w:tc>
        <w:tc>
          <w:tcPr>
            <w:tcW w:type="dxa" w:w="4372"/>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Qué valida</w:t>
            </w:r>
          </w:p>
        </w:tc>
        <w:tc>
          <w:tcPr>
            <w:tcW w:type="dxa" w:w="24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Suite</w:t>
            </w:r>
          </w:p>
        </w:tc>
      </w:tr>
      <w:tr>
        <w:tc>
          <w:tcPr>
            <w:tcW w:type="dxa" w:w="2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bCs/>
              </w:rPr>
              <w:t xml:space="preserve">Integración de API (BFF)</w:t>
            </w:r>
          </w:p>
        </w:tc>
        <w:tc>
          <w:tcPr>
            <w:tcW w:type="dxa" w:w="43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Contrato de las rutas del orquestador: estructura de respuesta y manejo de éxito y error</w:t>
            </w:r>
          </w:p>
        </w:tc>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sz w:val="18"/>
                <w:szCs w:val="18"/>
                <w:rFonts w:ascii="Consolas" w:cs="Consolas" w:eastAsia="Consolas" w:hAnsi="Consolas"/>
              </w:rPr>
              <w:t xml:space="preserve">api.test.js</w:t>
            </w:r>
          </w:p>
        </w:tc>
      </w:tr>
      <w:tr>
        <w:tc>
          <w:tcPr>
            <w:tcW w:type="dxa" w:w="23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bCs/>
              </w:rPr>
              <w:t xml:space="preserve">Dominio / Saga</w:t>
            </w:r>
          </w:p>
        </w:tc>
        <w:tc>
          <w:tcPr>
            <w:tcW w:type="dxa" w:w="43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Reserva atómica con compensación (rollback) y control de capacidad (CQRS)</w:t>
            </w:r>
          </w:p>
        </w:tc>
        <w:tc>
          <w:tcPr>
            <w:tcW w:type="dxa" w:w="24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sz w:val="18"/>
                <w:szCs w:val="18"/>
                <w:rFonts w:ascii="Consolas" w:cs="Consolas" w:eastAsia="Consolas" w:hAnsi="Consolas"/>
              </w:rPr>
              <w:t xml:space="preserve">reserveService.test.js</w:t>
            </w:r>
          </w:p>
        </w:tc>
      </w:tr>
      <w:tr>
        <w:tc>
          <w:tcPr>
            <w:tcW w:type="dxa" w:w="2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bCs/>
              </w:rPr>
              <w:t xml:space="preserve">Resiliencia</w:t>
            </w:r>
          </w:p>
        </w:tc>
        <w:tc>
          <w:tcPr>
            <w:tcW w:type="dxa" w:w="43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Timeout estricto y respuesta de respaldo (fallback) del BFF ante latencia del backend</w:t>
            </w:r>
          </w:p>
        </w:tc>
        <w:tc>
          <w:tcPr>
            <w:tcW w:type="dxa" w:w="24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sz w:val="18"/>
                <w:szCs w:val="18"/>
                <w:rFonts w:ascii="Consolas" w:cs="Consolas" w:eastAsia="Consolas" w:hAnsi="Consolas"/>
              </w:rPr>
              <w:t xml:space="preserve">api.timeout.test.js</w:t>
            </w:r>
          </w:p>
        </w:tc>
      </w:tr>
    </w:tbl>
    <w:p>
      <w:pPr>
        <w:pStyle w:val="Heading1"/>
        <w:spacing w:before="320" w:after="160" w:line="276" w:lineRule="auto"/>
      </w:pPr>
      <w:r>
        <w:t xml:space="preserve">4. Resumen de resultados</w:t>
      </w:r>
    </w:p>
    <w:p>
      <w:pPr>
        <w:spacing w:line="360" w:lineRule="auto" w:after="120"/>
        <w:jc w:val="both"/>
      </w:pPr>
      <w:r>
        <w:t xml:space="preserve">Se ejecutaron 10 pruebas automatizadas distribuidas en 3 suites. La totalidad de las pruebas resultó aprobada, en un tiempo de ejecución inferior a un segundo y sin dependencias externas.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372"/>
        <w:gridCol w:w="1900"/>
        <w:gridCol w:w="1300"/>
        <w:gridCol w:w="2500"/>
      </w:tblGrid>
      <w:tr>
        <w:tc>
          <w:tcPr>
            <w:tcW w:type="dxa" w:w="3372"/>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Suite</w:t>
            </w:r>
          </w:p>
        </w:tc>
        <w:tc>
          <w:tcPr>
            <w:tcW w:type="dxa" w:w="19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Framework</w:t>
            </w:r>
          </w:p>
        </w:tc>
        <w:tc>
          <w:tcPr>
            <w:tcW w:type="dxa" w:w="13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center"/>
            </w:pPr>
            <w:r>
              <w:rPr>
                <w:b/>
                <w:bCs/>
                <w:color w:val="FFFFFF"/>
              </w:rPr>
              <w:t xml:space="preserve">Casos</w:t>
            </w:r>
          </w:p>
        </w:tc>
        <w:tc>
          <w:tcPr>
            <w:tcW w:type="dxa" w:w="25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center"/>
            </w:pPr>
            <w:r>
              <w:rPr>
                <w:b/>
                <w:bCs/>
                <w:color w:val="FFFFFF"/>
              </w:rPr>
              <w:t xml:space="preserve">Resultado</w:t>
            </w:r>
          </w:p>
        </w:tc>
      </w:tr>
      <w:tr>
        <w:tc>
          <w:tcPr>
            <w:tcW w:type="dxa" w:w="33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sz w:val="18"/>
                <w:szCs w:val="18"/>
                <w:rFonts w:ascii="Consolas" w:cs="Consolas" w:eastAsia="Consolas" w:hAnsi="Consolas"/>
              </w:rPr>
              <w:t xml:space="preserve">api.test.js</w:t>
            </w:r>
          </w:p>
        </w:tc>
        <w:tc>
          <w:tcPr>
            <w:tcW w:type="dxa" w:w="1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node:test</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6</w:t>
            </w:r>
          </w:p>
        </w:tc>
        <w:tc>
          <w:tcPr>
            <w:tcW w:type="dxa" w:w="2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6 / 6 aprobadas</w:t>
            </w:r>
          </w:p>
        </w:tc>
      </w:tr>
      <w:tr>
        <w:tc>
          <w:tcPr>
            <w:tcW w:type="dxa" w:w="33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sz w:val="18"/>
                <w:szCs w:val="18"/>
                <w:rFonts w:ascii="Consolas" w:cs="Consolas" w:eastAsia="Consolas" w:hAnsi="Consolas"/>
              </w:rPr>
              <w:t xml:space="preserve">api.timeout.test.js</w:t>
            </w:r>
          </w:p>
        </w:tc>
        <w:tc>
          <w:tcPr>
            <w:tcW w:type="dxa" w:w="19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Jest</w:t>
            </w:r>
          </w:p>
        </w:tc>
        <w:tc>
          <w:tcPr>
            <w:tcW w:type="dxa" w:w="13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2</w:t>
            </w:r>
          </w:p>
        </w:tc>
        <w:tc>
          <w:tcPr>
            <w:tcW w:type="dxa" w:w="25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2 / 2 aprobadas</w:t>
            </w:r>
          </w:p>
        </w:tc>
      </w:tr>
      <w:tr>
        <w:tc>
          <w:tcPr>
            <w:tcW w:type="dxa" w:w="33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sz w:val="18"/>
                <w:szCs w:val="18"/>
                <w:rFonts w:ascii="Consolas" w:cs="Consolas" w:eastAsia="Consolas" w:hAnsi="Consolas"/>
              </w:rPr>
              <w:t xml:space="preserve">reserveService.test.js</w:t>
            </w:r>
          </w:p>
        </w:tc>
        <w:tc>
          <w:tcPr>
            <w:tcW w:type="dxa" w:w="19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Jest</w:t>
            </w:r>
          </w:p>
        </w:tc>
        <w:tc>
          <w:tcPr>
            <w:tcW w:type="dxa" w:w="13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2</w:t>
            </w:r>
          </w:p>
        </w:tc>
        <w:tc>
          <w:tcPr>
            <w:tcW w:type="dxa" w:w="2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2 / 2 aprobadas</w:t>
            </w:r>
          </w:p>
        </w:tc>
      </w:tr>
      <w:tr>
        <w:tc>
          <w:tcPr>
            <w:tcW w:type="dxa" w:w="3372"/>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rPr>
              <w:t xml:space="preserve">TOTAL</w:t>
            </w:r>
          </w:p>
        </w:tc>
        <w:tc>
          <w:tcPr>
            <w:tcW w:type="dxa" w:w="19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center"/>
            </w:pPr>
            <w:r>
              <w:rPr>
                <w:b w:val="false"/>
                <w:bCs w:val="false"/>
              </w:rPr>
              <w:t xml:space="preserve">—</w:t>
            </w:r>
          </w:p>
        </w:tc>
        <w:tc>
          <w:tcPr>
            <w:tcW w:type="dxa" w:w="13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center"/>
            </w:pPr>
            <w:r>
              <w:rPr>
                <w:b/>
                <w:bCs/>
              </w:rPr>
              <w:t xml:space="preserve">10</w:t>
            </w:r>
          </w:p>
        </w:tc>
        <w:tc>
          <w:tcPr>
            <w:tcW w:type="dxa" w:w="25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center"/>
            </w:pPr>
            <w:r>
              <w:rPr>
                <w:b/>
                <w:bCs/>
              </w:rPr>
              <w:t xml:space="preserve">10 / 10 (100 %)</w:t>
            </w:r>
          </w:p>
        </w:tc>
      </w:tr>
    </w:tbl>
    <w:p>
      <w:pPr>
        <w:pStyle w:val="Heading1"/>
        <w:spacing w:before="320" w:after="160" w:line="276" w:lineRule="auto"/>
      </w:pPr>
      <w:r>
        <w:t xml:space="preserve">5. Detalle por suite de pruebas</w:t>
      </w:r>
    </w:p>
    <w:p>
      <w:pPr>
        <w:pStyle w:val="Heading2"/>
        <w:spacing w:before="220" w:after="120" w:line="276" w:lineRule="auto"/>
      </w:pPr>
      <w:r>
        <w:t xml:space="preserve">5.1. api.test.js — Contratos del BFF (node:test)</w:t>
      </w:r>
    </w:p>
    <w:p>
      <w:pPr>
        <w:spacing w:line="360" w:lineRule="auto" w:after="120"/>
        <w:jc w:val="both"/>
      </w:pPr>
      <w:r>
        <w:t xml:space="preserve">Prueba la estructura de respuesta de las rutas de mismo origen </w:t>
      </w:r>
      <w:r>
        <w:rPr>
          <w:sz w:val="20"/>
          <w:szCs w:val="20"/>
          <w:rFonts w:ascii="Consolas" w:cs="Consolas" w:eastAsia="Consolas" w:hAnsi="Consolas"/>
        </w:rPr>
        <w:t xml:space="preserve">/api/mapas/search</w:t>
      </w:r>
      <w:r>
        <w:t xml:space="preserve"> y </w:t>
      </w:r>
      <w:r>
        <w:rPr>
          <w:sz w:val="20"/>
          <w:szCs w:val="20"/>
          <w:rFonts w:ascii="Consolas" w:cs="Consolas" w:eastAsia="Consolas" w:hAnsi="Consolas"/>
        </w:rPr>
        <w:t xml:space="preserve">/api/reservas/reserve</w:t>
      </w:r>
      <w:r>
        <w:t xml:space="preserve"> utilizando un mock de fetch, sin base de datos real. Verifica tanto los caminos de éxito como el manejo de errores del orquestador (BFF). Casos cubiertos:</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700"/>
        <w:gridCol w:w="6172"/>
        <w:gridCol w:w="2200"/>
      </w:tblGrid>
      <w:tr>
        <w:tc>
          <w:tcPr>
            <w:tcW w:type="dxa" w:w="7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center"/>
            </w:pPr>
            <w:r>
              <w:rPr>
                <w:b/>
                <w:bCs/>
                <w:color w:val="FFFFFF"/>
              </w:rPr>
              <w:t xml:space="preserve">#</w:t>
            </w:r>
          </w:p>
        </w:tc>
        <w:tc>
          <w:tcPr>
            <w:tcW w:type="dxa" w:w="6172"/>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Caso</w:t>
            </w:r>
          </w:p>
        </w:tc>
        <w:tc>
          <w:tcPr>
            <w:tcW w:type="dxa" w:w="22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center"/>
            </w:pPr>
            <w:r>
              <w:rPr>
                <w:b/>
                <w:bCs/>
                <w:color w:val="FFFFFF"/>
              </w:rPr>
              <w:t xml:space="preserve">Resultado</w:t>
            </w:r>
          </w:p>
        </w:tc>
      </w:tr>
      <w:tr>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w:t>
            </w:r>
          </w:p>
        </w:tc>
        <w:tc>
          <w:tcPr>
            <w:tcW w:type="dxa" w:w="61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Mapas: actualiza la ocupación correctamente</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Aprobado</w:t>
            </w:r>
          </w:p>
        </w:tc>
      </w:tr>
      <w:tr>
        <w:tc>
          <w:tcPr>
            <w:tcW w:type="dxa" w:w="7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2</w:t>
            </w:r>
          </w:p>
        </w:tc>
        <w:tc>
          <w:tcPr>
            <w:tcW w:type="dxa" w:w="61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Mapas: rechaza la actualización al exceder la capacidad (PATCH)</w:t>
            </w:r>
          </w:p>
        </w:tc>
        <w:tc>
          <w:tcPr>
            <w:tcW w:type="dxa" w:w="22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Aprobado</w:t>
            </w:r>
          </w:p>
        </w:tc>
      </w:tr>
      <w:tr>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3</w:t>
            </w:r>
          </w:p>
        </w:tc>
        <w:tc>
          <w:tcPr>
            <w:tcW w:type="dxa" w:w="61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Reservas: verifica disponibilidad cuando hay plaza libre</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Aprobado</w:t>
            </w:r>
          </w:p>
        </w:tc>
      </w:tr>
      <w:tr>
        <w:tc>
          <w:tcPr>
            <w:tcW w:type="dxa" w:w="7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4</w:t>
            </w:r>
          </w:p>
        </w:tc>
        <w:tc>
          <w:tcPr>
            <w:tcW w:type="dxa" w:w="61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Reservas: verifica disponibilidad cuando la plaza está llena</w:t>
            </w:r>
          </w:p>
        </w:tc>
        <w:tc>
          <w:tcPr>
            <w:tcW w:type="dxa" w:w="22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Aprobado</w:t>
            </w:r>
          </w:p>
        </w:tc>
      </w:tr>
      <w:tr>
        <w:tc>
          <w:tcPr>
            <w:tcW w:type="dxa" w:w="7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5</w:t>
            </w:r>
          </w:p>
        </w:tc>
        <w:tc>
          <w:tcPr>
            <w:tcW w:type="dxa" w:w="61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rPr>
              <w:t xml:space="preserve">Reservas: crea la reserva con éxito</w:t>
            </w:r>
          </w:p>
        </w:tc>
        <w:tc>
          <w:tcPr>
            <w:tcW w:type="dxa" w:w="22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Aprobado</w:t>
            </w:r>
          </w:p>
        </w:tc>
      </w:tr>
      <w:tr>
        <w:tc>
          <w:tcPr>
            <w:tcW w:type="dxa" w:w="7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6</w:t>
            </w:r>
          </w:p>
        </w:tc>
        <w:tc>
          <w:tcPr>
            <w:tcW w:type="dxa" w:w="6172"/>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left"/>
            </w:pPr>
            <w:r>
              <w:rPr>
                <w:b w:val="false"/>
                <w:bCs w:val="false"/>
              </w:rPr>
              <w:t xml:space="preserve">Reservas: maneja el error cuando la Saga falla</w:t>
            </w:r>
          </w:p>
        </w:tc>
        <w:tc>
          <w:tcPr>
            <w:tcW w:type="dxa" w:w="2200"/>
            <w:tcBorders>
              <w:top w:val="single" w:color="BFBFBF" w:sz="4"/>
              <w:left w:val="single" w:color="BFBFBF" w:sz="4"/>
              <w:bottom w:val="single" w:color="BFBFBF" w:sz="4"/>
              <w:right w:val="single" w:color="BFBFBF" w:sz="4"/>
            </w:tcBorders>
            <w:shd w:fill="F2F2F2" w:val="clear"/>
            <w:tcMar>
              <w:top w:type="dxa" w:w="60"/>
              <w:left w:type="dxa" w:w="110"/>
              <w:bottom w:type="dxa" w:w="60"/>
              <w:right w:type="dxa" w:w="110"/>
            </w:tcMar>
            <w:vAlign w:val="center"/>
          </w:tcPr>
          <w:p>
            <w:pPr>
              <w:spacing w:line="252" w:lineRule="auto" w:after="0"/>
              <w:jc w:val="center"/>
            </w:pPr>
            <w:r>
              <w:rPr>
                <w:b w:val="false"/>
                <w:bCs w:val="false"/>
              </w:rPr>
              <w:t xml:space="preserve">Aprobado</w:t>
            </w:r>
          </w:p>
        </w:tc>
      </w:tr>
    </w:tbl>
    <w:p>
      <w:pPr>
        <w:pStyle w:val="Heading2"/>
        <w:spacing w:before="220" w:after="120" w:line="276" w:lineRule="auto"/>
      </w:pPr>
      <w:r>
        <w:t xml:space="preserve">5.2. reserveService.test.js — Saga de reservas (Jest)</w:t>
      </w:r>
    </w:p>
    <w:p>
      <w:pPr>
        <w:spacing w:line="360" w:lineRule="auto" w:after="120"/>
        <w:jc w:val="both"/>
      </w:pPr>
      <w:r>
        <w:rPr>
          <w:b/>
          <w:bCs/>
        </w:rPr>
        <w:t xml:space="preserve">Módulo: </w:t>
      </w:r>
      <w:r>
        <w:rPr>
          <w:sz w:val="20"/>
          <w:szCs w:val="20"/>
          <w:rFonts w:ascii="Consolas" w:cs="Consolas" w:eastAsia="Consolas" w:hAnsi="Consolas"/>
        </w:rPr>
        <w:t xml:space="preserve">apps/ms-reservas/app/api/v1/reserve/services/reserva.service.js</w:t>
      </w:r>
      <w:r>
        <w:t xml:space="preserve">. Demuestra la robustez transaccional del dominio de reservas mediante el patrón Saga con compensación:</w:t>
      </w:r>
    </w:p>
    <w:p>
      <w:pPr>
        <w:pStyle w:val="ListParagraph"/>
        <w:numPr>
          <w:ilvl w:val="0"/>
          <w:numId w:val="1"/>
        </w:numPr>
        <w:spacing w:line="360" w:lineRule="auto" w:after="120"/>
        <w:jc w:val="both"/>
      </w:pPr>
      <w:r>
        <w:rPr>
          <w:b/>
          <w:bCs/>
        </w:rPr>
        <w:t xml:space="preserve">Control de capacidad (CQRS): </w:t>
      </w:r>
      <w:r>
        <w:t xml:space="preserve">rechaza la reserva si el estacionamiento ya está lleno y, en ese caso, no llega a crear la reserva.</w:t>
      </w:r>
    </w:p>
    <w:p>
      <w:pPr>
        <w:pStyle w:val="ListParagraph"/>
        <w:numPr>
          <w:ilvl w:val="0"/>
          <w:numId w:val="1"/>
        </w:numPr>
        <w:spacing w:line="360" w:lineRule="auto" w:after="120"/>
        <w:jc w:val="both"/>
      </w:pPr>
      <w:r>
        <w:rPr>
          <w:b/>
          <w:bCs/>
        </w:rPr>
        <w:t xml:space="preserve">Compensación (rollback): </w:t>
      </w:r>
      <w:r>
        <w:t xml:space="preserve">si la operación de aumento de ocupación falla (simulando un error de concurrencia), la Saga revierte la reserva ya creada, garantizando la integridad de los datos («Saga Compensada»).</w:t>
      </w:r>
    </w:p>
    <w:p>
      <w:pPr>
        <w:pStyle w:val="Heading2"/>
        <w:spacing w:before="220" w:after="120" w:line="276" w:lineRule="auto"/>
      </w:pPr>
      <w:r>
        <w:t xml:space="preserve">5.3. api.timeout.test.js — Resiliencia del BFF (Jest)</w:t>
      </w:r>
    </w:p>
    <w:p>
      <w:pPr>
        <w:spacing w:line="360" w:lineRule="auto" w:after="120"/>
        <w:jc w:val="both"/>
      </w:pPr>
      <w:r>
        <w:t xml:space="preserve">Verifica que el cliente del BFF devuelva los datos cuando la respuesta llega a tiempo, y que aborte la petición mediante </w:t>
      </w:r>
      <w:r>
        <w:rPr>
          <w:sz w:val="20"/>
          <w:szCs w:val="20"/>
          <w:rFonts w:ascii="Consolas" w:cs="Consolas" w:eastAsia="Consolas" w:hAnsi="Consolas"/>
        </w:rPr>
        <w:t xml:space="preserve">AbortController</w:t>
      </w:r>
      <w:r>
        <w:t xml:space="preserve"> entregando una respuesta de respaldo segura (</w:t>
      </w:r>
      <w:r>
        <w:rPr>
          <w:sz w:val="18"/>
          <w:szCs w:val="18"/>
          <w:rFonts w:ascii="Consolas" w:cs="Consolas" w:eastAsia="Consolas" w:hAnsi="Consolas"/>
        </w:rPr>
        <w:t xml:space="preserve">{ success: false, error: true, fallback: true, data: [] }</w:t>
      </w:r>
      <w:r>
        <w:t xml:space="preserve">) cuando la petición supera el límite estricto de 8 segundos. De este modo se demuestra el manejo controlado de la latencia o indisponibilidad del backend.</w:t>
      </w:r>
    </w:p>
    <w:p>
      <w:pPr>
        <w:pStyle w:val="Heading1"/>
        <w:spacing w:before="320" w:after="160" w:line="276" w:lineRule="auto"/>
      </w:pPr>
      <w:r>
        <w:t xml:space="preserve">6. Cobertura de código</w:t>
      </w:r>
    </w:p>
    <w:p>
      <w:pPr>
        <w:spacing w:line="360" w:lineRule="auto" w:after="120"/>
        <w:jc w:val="both"/>
      </w:pPr>
      <w:r>
        <w:t xml:space="preserve">La siguiente tabla presenta la cobertura de los módulos ejercitados por las suites Jest, generada con Istanbul. Cabe destacar que las ramas (branches) del servicio de reservas —donde reside la lógica crítica de la Saga— se encuentran cubiertas al 100 %.</w:t>
      </w:r>
    </w:p>
    <w:tbl>
      <w:tblPr>
        <w:tblW w:type="dxa" w:w="9072"/>
        <w:tblBorders>
          <w:top w:val="single" w:color="auto" w:sz="4"/>
          <w:left w:val="single" w:color="auto" w:sz="4"/>
          <w:bottom w:val="single" w:color="auto" w:sz="4"/>
          <w:right w:val="single" w:color="auto" w:sz="4"/>
          <w:insideH w:val="single" w:color="auto" w:sz="4"/>
          <w:insideV w:val="single" w:color="auto" w:sz="4"/>
        </w:tblBorders>
      </w:tblPr>
      <w:tblGrid>
        <w:gridCol w:w="3072"/>
        <w:gridCol w:w="1500"/>
        <w:gridCol w:w="1500"/>
        <w:gridCol w:w="1500"/>
        <w:gridCol w:w="1500"/>
      </w:tblGrid>
      <w:tr>
        <w:tc>
          <w:tcPr>
            <w:tcW w:type="dxa" w:w="3072"/>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left"/>
            </w:pPr>
            <w:r>
              <w:rPr>
                <w:b/>
                <w:bCs/>
                <w:color w:val="FFFFFF"/>
              </w:rPr>
              <w:t xml:space="preserve">Archivo</w:t>
            </w:r>
          </w:p>
        </w:tc>
        <w:tc>
          <w:tcPr>
            <w:tcW w:type="dxa" w:w="15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center"/>
            </w:pPr>
            <w:r>
              <w:rPr>
                <w:b/>
                <w:bCs/>
                <w:color w:val="FFFFFF"/>
              </w:rPr>
              <w:t xml:space="preserve">% Stmts</w:t>
            </w:r>
          </w:p>
        </w:tc>
        <w:tc>
          <w:tcPr>
            <w:tcW w:type="dxa" w:w="15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center"/>
            </w:pPr>
            <w:r>
              <w:rPr>
                <w:b/>
                <w:bCs/>
                <w:color w:val="FFFFFF"/>
              </w:rPr>
              <w:t xml:space="preserve">% Branch</w:t>
            </w:r>
          </w:p>
        </w:tc>
        <w:tc>
          <w:tcPr>
            <w:tcW w:type="dxa" w:w="15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center"/>
            </w:pPr>
            <w:r>
              <w:rPr>
                <w:b/>
                <w:bCs/>
                <w:color w:val="FFFFFF"/>
              </w:rPr>
              <w:t xml:space="preserve">% Funcs</w:t>
            </w:r>
          </w:p>
        </w:tc>
        <w:tc>
          <w:tcPr>
            <w:tcW w:type="dxa" w:w="1500"/>
            <w:tcBorders>
              <w:top w:val="single" w:color="BFBFBF" w:sz="4"/>
              <w:left w:val="single" w:color="BFBFBF" w:sz="4"/>
              <w:bottom w:val="single" w:color="BFBFBF" w:sz="4"/>
              <w:right w:val="single" w:color="BFBFBF" w:sz="4"/>
            </w:tcBorders>
            <w:shd w:fill="1F4E79" w:val="clear"/>
            <w:tcMar>
              <w:top w:type="dxa" w:w="60"/>
              <w:left w:type="dxa" w:w="110"/>
              <w:bottom w:type="dxa" w:w="60"/>
              <w:right w:type="dxa" w:w="110"/>
            </w:tcMar>
            <w:vAlign w:val="center"/>
          </w:tcPr>
          <w:p>
            <w:pPr>
              <w:spacing w:line="252" w:lineRule="auto" w:after="0"/>
              <w:jc w:val="center"/>
            </w:pPr>
            <w:r>
              <w:rPr>
                <w:b/>
                <w:bCs/>
                <w:color w:val="FFFFFF"/>
              </w:rPr>
              <w:t xml:space="preserve">% Lines</w:t>
            </w:r>
          </w:p>
        </w:tc>
      </w:tr>
      <w:tr>
        <w:tc>
          <w:tcPr>
            <w:tcW w:type="dxa" w:w="3072"/>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left"/>
            </w:pPr>
            <w:r>
              <w:rPr>
                <w:b/>
                <w:bCs/>
                <w:sz w:val="22"/>
                <w:szCs w:val="22"/>
                <w:rFonts w:ascii="Arial" w:cs="Arial" w:eastAsia="Arial" w:hAnsi="Arial"/>
              </w:rPr>
              <w:t xml:space="preserve">All files</w:t>
            </w:r>
          </w:p>
        </w:tc>
        <w:tc>
          <w:tcPr>
            <w:tcW w:type="dxa" w:w="15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center"/>
            </w:pPr>
            <w:r>
              <w:rPr>
                <w:b/>
                <w:bCs/>
              </w:rPr>
              <w:t xml:space="preserve">62.71</w:t>
            </w:r>
          </w:p>
        </w:tc>
        <w:tc>
          <w:tcPr>
            <w:tcW w:type="dxa" w:w="15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center"/>
            </w:pPr>
            <w:r>
              <w:rPr>
                <w:b/>
                <w:bCs/>
              </w:rPr>
              <w:t xml:space="preserve">47.36</w:t>
            </w:r>
          </w:p>
        </w:tc>
        <w:tc>
          <w:tcPr>
            <w:tcW w:type="dxa" w:w="15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center"/>
            </w:pPr>
            <w:r>
              <w:rPr>
                <w:b/>
                <w:bCs/>
              </w:rPr>
              <w:t xml:space="preserve">30.76</w:t>
            </w:r>
          </w:p>
        </w:tc>
        <w:tc>
          <w:tcPr>
            <w:tcW w:type="dxa" w:w="1500"/>
            <w:tcBorders>
              <w:top w:val="single" w:color="BFBFBF" w:sz="4"/>
              <w:left w:val="single" w:color="BFBFBF" w:sz="4"/>
              <w:bottom w:val="single" w:color="BFBFBF" w:sz="4"/>
              <w:right w:val="single" w:color="BFBFBF" w:sz="4"/>
            </w:tcBorders>
            <w:shd w:fill="D6E4F0" w:val="clear"/>
            <w:tcMar>
              <w:top w:type="dxa" w:w="60"/>
              <w:left w:type="dxa" w:w="110"/>
              <w:bottom w:type="dxa" w:w="60"/>
              <w:right w:type="dxa" w:w="110"/>
            </w:tcMar>
            <w:vAlign w:val="center"/>
          </w:tcPr>
          <w:p>
            <w:pPr>
              <w:spacing w:line="252" w:lineRule="auto" w:after="0"/>
              <w:jc w:val="center"/>
            </w:pPr>
            <w:r>
              <w:rPr>
                <w:b/>
                <w:bCs/>
              </w:rPr>
              <w:t xml:space="preserve">62.50</w:t>
            </w:r>
          </w:p>
        </w:tc>
      </w:tr>
      <w:tr>
        <w:tc>
          <w:tcPr>
            <w:tcW w:type="dxa" w:w="30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reserva.service.js</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78.57</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100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50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78.57</w:t>
            </w:r>
          </w:p>
        </w:tc>
      </w:tr>
      <w:tr>
        <w:tc>
          <w:tcPr>
            <w:tcW w:type="dxa" w:w="3072"/>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left"/>
            </w:pPr>
            <w:r>
              <w:rPr>
                <w:b w:val="false"/>
                <w:bCs w:val="false"/>
                <w:sz w:val="18"/>
                <w:szCs w:val="18"/>
                <w:rFonts w:ascii="Consolas" w:cs="Consolas" w:eastAsia="Consolas" w:hAnsi="Consolas"/>
              </w:rPr>
              <w:t xml:space="preserve">api.js</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60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40</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33.33</w:t>
            </w:r>
          </w:p>
        </w:tc>
        <w:tc>
          <w:tcPr>
            <w:tcW w:type="dxa" w:w="1500"/>
            <w:tcBorders>
              <w:top w:val="single" w:color="BFBFBF" w:sz="4"/>
              <w:left w:val="single" w:color="BFBFBF" w:sz="4"/>
              <w:bottom w:val="single" w:color="BFBFBF" w:sz="4"/>
              <w:right w:val="single" w:color="BFBFBF" w:sz="4"/>
            </w:tcBorders>
            <w:shd w:fill="FFFFFF" w:val="clear"/>
            <w:tcMar>
              <w:top w:type="dxa" w:w="60"/>
              <w:left w:type="dxa" w:w="110"/>
              <w:bottom w:type="dxa" w:w="60"/>
              <w:right w:type="dxa" w:w="110"/>
            </w:tcMar>
            <w:vAlign w:val="center"/>
          </w:tcPr>
          <w:p>
            <w:pPr>
              <w:spacing w:line="252" w:lineRule="auto" w:after="0"/>
              <w:jc w:val="center"/>
            </w:pPr>
            <w:r>
              <w:rPr>
                <w:b w:val="false"/>
                <w:bCs w:val="false"/>
              </w:rPr>
              <w:t xml:space="preserve">59.25</w:t>
            </w:r>
          </w:p>
        </w:tc>
      </w:tr>
    </w:tbl>
    <w:p>
      <w:pPr>
        <w:spacing w:line="360" w:lineRule="auto" w:after="120"/>
        <w:jc w:val="both"/>
      </w:pPr>
      <w:r>
        <w:t xml:space="preserve">La cobertura se concentra deliberadamente en la lógica de dominio y en el cliente del orquestador. El archivo </w:t>
      </w:r>
      <w:r>
        <w:rPr>
          <w:sz w:val="20"/>
          <w:szCs w:val="20"/>
          <w:rFonts w:ascii="Consolas" w:cs="Consolas" w:eastAsia="Consolas" w:hAnsi="Consolas"/>
        </w:rPr>
        <w:t xml:space="preserve">api.test.js</w:t>
      </w:r>
      <w:r>
        <w:t xml:space="preserve"> (6 pruebas del BFF) se ejecuta con el runner nativo </w:t>
      </w:r>
      <w:r>
        <w:rPr>
          <w:sz w:val="20"/>
          <w:szCs w:val="20"/>
          <w:rFonts w:ascii="Consolas" w:cs="Consolas" w:eastAsia="Consolas" w:hAnsi="Consolas"/>
        </w:rPr>
        <w:t xml:space="preserve">node:test</w:t>
      </w:r>
      <w:r>
        <w:t xml:space="preserve">, por lo que su aporte de cobertura no aparece en el reporte de Jest, aunque su contrato sí queda verificado.</w:t>
      </w:r>
    </w:p>
    <w:p>
      <w:pPr>
        <w:pStyle w:val="Heading1"/>
        <w:spacing w:before="320" w:after="160" w:line="276" w:lineRule="auto"/>
      </w:pPr>
      <w:r>
        <w:t xml:space="preserve">7. Evidencia de ejecución</w:t>
      </w:r>
    </w:p>
    <w:p>
      <w:pPr>
        <w:spacing w:line="360" w:lineRule="auto" w:after="120"/>
        <w:jc w:val="both"/>
      </w:pPr>
      <w:r>
        <w:t xml:space="preserve">A continuación se transcribe la salida real de la ejecución de las pruebas, de modo que el informe es autocontenido y verificable. Las capturas pueden regenerarse ejecutando los comandos de la sección 8.</w:t>
      </w:r>
    </w:p>
    <w:p>
      <w:pPr>
        <w:spacing w:before="120" w:after="60"/>
        <w:jc w:val="both"/>
      </w:pPr>
      <w:r>
        <w:rPr>
          <w:b/>
          <w:bCs/>
        </w:rPr>
        <w:t xml:space="preserve">Evidencia 1 — Pruebas de integración del BFF (node:test):</w:t>
      </w:r>
    </w:p>
    <w:p>
      <w:pPr>
        <w:pBdr>
          <w:top w:val="single" w:color="D9D9D9" w:sz="4" w:space="2"/>
          <w:left w:val="single" w:color="1F4E79" w:sz="12" w:space="6"/>
        </w:pBdr>
        <w:shd w:fill="F5F5F5" w:val="clear"/>
        <w:spacing w:line="240" w:lineRule="auto" w:after="0" w:before="0"/>
      </w:pPr>
      <w:r>
        <w:rPr>
          <w:sz w:val="18"/>
          <w:szCs w:val="18"/>
          <w:rFonts w:ascii="Consolas" w:cs="Consolas" w:eastAsia="Consolas" w:hAnsi="Consolas"/>
        </w:rPr>
        <w:t xml:space="preserve">PS apps/web&gt; node --test tests/api.test.js</w:t>
      </w:r>
    </w:p>
    <w:p>
      <w:pPr>
        <w:pBdr>
          <w:left w:val="single" w:color="1F4E79" w:sz="12" w:space="6"/>
        </w:pBdr>
        <w:shd w:fill="F5F5F5" w:val="clear"/>
        <w:spacing w:line="240" w:lineRule="auto" w:after="0" w:before="0"/>
      </w:pPr>
      <w:r>
        <w:rPr>
          <w:sz w:val="18"/>
          <w:szCs w:val="18"/>
          <w:rFonts w:ascii="Consolas" w:cs="Consolas" w:eastAsia="Consolas" w:hAnsi="Consolas"/>
        </w:rPr>
        <w:t xml:space="preserve">✔ BFF - Mapas: Deberia actualizar ocupacion correctamente</w:t>
      </w:r>
    </w:p>
    <w:p>
      <w:pPr>
        <w:pBdr>
          <w:left w:val="single" w:color="1F4E79" w:sz="12" w:space="6"/>
        </w:pBdr>
        <w:shd w:fill="F5F5F5" w:val="clear"/>
        <w:spacing w:line="240" w:lineRule="auto" w:after="0" w:before="0"/>
      </w:pPr>
      <w:r>
        <w:rPr>
          <w:sz w:val="18"/>
          <w:szCs w:val="18"/>
          <w:rFonts w:ascii="Consolas" w:cs="Consolas" w:eastAsia="Consolas" w:hAnsi="Consolas"/>
        </w:rPr>
        <w:t xml:space="preserve">✔ BFF - Mapas: Deberia fallar al exceder capacidad en PATCH</w:t>
      </w:r>
    </w:p>
    <w:p>
      <w:pPr>
        <w:pBdr>
          <w:left w:val="single" w:color="1F4E79" w:sz="12" w:space="6"/>
        </w:pBdr>
        <w:shd w:fill="F5F5F5" w:val="clear"/>
        <w:spacing w:line="240" w:lineRule="auto" w:after="0" w:before="0"/>
      </w:pPr>
      <w:r>
        <w:rPr>
          <w:sz w:val="18"/>
          <w:szCs w:val="18"/>
          <w:rFonts w:ascii="Consolas" w:cs="Consolas" w:eastAsia="Consolas" w:hAnsi="Consolas"/>
        </w:rPr>
        <w:t xml:space="preserve">✔ BFF - Reservas (Saga): Deberia verificar disponibilidad</w:t>
      </w:r>
    </w:p>
    <w:p>
      <w:pPr>
        <w:pBdr>
          <w:left w:val="single" w:color="1F4E79" w:sz="12" w:space="6"/>
        </w:pBdr>
        <w:shd w:fill="F5F5F5" w:val="clear"/>
        <w:spacing w:line="240" w:lineRule="auto" w:after="0" w:before="0"/>
      </w:pPr>
      <w:r>
        <w:rPr>
          <w:sz w:val="18"/>
          <w:szCs w:val="18"/>
          <w:rFonts w:ascii="Consolas" w:cs="Consolas" w:eastAsia="Consolas" w:hAnsi="Consolas"/>
        </w:rPr>
        <w:t xml:space="preserve">✔ BFF - Reservas (Saga): Deberia rechazar si esta lleno</w:t>
      </w:r>
    </w:p>
    <w:p>
      <w:pPr>
        <w:pBdr>
          <w:left w:val="single" w:color="1F4E79" w:sz="12" w:space="6"/>
        </w:pBdr>
        <w:shd w:fill="F5F5F5" w:val="clear"/>
        <w:spacing w:line="240" w:lineRule="auto" w:after="0" w:before="0"/>
      </w:pPr>
      <w:r>
        <w:rPr>
          <w:sz w:val="18"/>
          <w:szCs w:val="18"/>
          <w:rFonts w:ascii="Consolas" w:cs="Consolas" w:eastAsia="Consolas" w:hAnsi="Consolas"/>
        </w:rPr>
        <w:t xml:space="preserve">✔ BFF - Reservas (Saga): Deberia crear reserva con exito</w:t>
      </w:r>
    </w:p>
    <w:p>
      <w:pPr>
        <w:pBdr>
          <w:left w:val="single" w:color="1F4E79" w:sz="12" w:space="6"/>
        </w:pBdr>
        <w:shd w:fill="F5F5F5" w:val="clear"/>
        <w:spacing w:line="240" w:lineRule="auto" w:after="0" w:before="0"/>
      </w:pPr>
      <w:r>
        <w:rPr>
          <w:sz w:val="18"/>
          <w:szCs w:val="18"/>
          <w:rFonts w:ascii="Consolas" w:cs="Consolas" w:eastAsia="Consolas" w:hAnsi="Consolas"/>
        </w:rPr>
        <w:t xml:space="preserve">✔ BFF - Reservas (Saga): Deberia manejar el error si la Saga falla</w:t>
      </w:r>
    </w:p>
    <w:p>
      <w:pPr>
        <w:pBdr>
          <w:bottom w:val="single" w:color="D9D9D9" w:sz="4" w:space="2"/>
          <w:left w:val="single" w:color="1F4E79" w:sz="12" w:space="6"/>
        </w:pBdr>
        <w:shd w:fill="F5F5F5" w:val="clear"/>
        <w:spacing w:line="240" w:lineRule="auto" w:after="0" w:before="0"/>
      </w:pPr>
      <w:r>
        <w:rPr>
          <w:sz w:val="18"/>
          <w:szCs w:val="18"/>
          <w:rFonts w:ascii="Consolas" w:cs="Consolas" w:eastAsia="Consolas" w:hAnsi="Consolas"/>
        </w:rPr>
        <w:t xml:space="preserve">i tests 6   |   i pass 6   |   i fail 0</w:t>
      </w:r>
    </w:p>
    <w:p>
      <w:pPr>
        <w:spacing w:before="60" w:after="200"/>
        <w:jc w:val="left"/>
      </w:pPr>
      <w:r>
        <w:rPr>
          <w:i/>
          <w:iCs/>
          <w:color w:val="595959"/>
          <w:sz w:val="18"/>
          <w:szCs w:val="18"/>
        </w:rPr>
        <w:t xml:space="preserve">Evidencia 1: 6/6 pruebas del BFF aprobadas (node:test).</w:t>
      </w:r>
    </w:p>
    <w:p>
      <w:pPr>
        <w:spacing w:before="120" w:after="60"/>
        <w:jc w:val="both"/>
      </w:pPr>
      <w:r>
        <w:rPr>
          <w:b/>
          <w:bCs/>
        </w:rPr>
        <w:t xml:space="preserve">Evidencia 2 — Pruebas Jest con cobertura (dominio + resiliencia):</w:t>
      </w:r>
    </w:p>
    <w:p>
      <w:pPr>
        <w:pBdr>
          <w:top w:val="single" w:color="D9D9D9" w:sz="4" w:space="2"/>
          <w:left w:val="single" w:color="1F4E79" w:sz="12" w:space="6"/>
        </w:pBdr>
        <w:shd w:fill="F5F5F5" w:val="clear"/>
        <w:spacing w:line="240" w:lineRule="auto" w:after="0" w:before="0"/>
      </w:pPr>
      <w:r>
        <w:rPr>
          <w:sz w:val="18"/>
          <w:szCs w:val="18"/>
          <w:rFonts w:ascii="Consolas" w:cs="Consolas" w:eastAsia="Consolas" w:hAnsi="Consolas"/>
        </w:rPr>
        <w:t xml:space="preserve">PS (raiz)&gt; npx jest --coverage</w:t>
      </w:r>
    </w:p>
    <w:p>
      <w:pPr>
        <w:pBdr>
          <w:left w:val="single" w:color="1F4E79" w:sz="12" w:space="6"/>
        </w:pBdr>
        <w:shd w:fill="F5F5F5" w:val="clear"/>
        <w:spacing w:line="240" w:lineRule="auto" w:after="0" w:before="0"/>
      </w:pPr>
      <w:r>
        <w:rPr>
          <w:sz w:val="18"/>
          <w:szCs w:val="18"/>
          <w:rFonts w:ascii="Consolas" w:cs="Consolas" w:eastAsia="Consolas" w:hAnsi="Consolas"/>
        </w:rPr>
        <w:t xml:space="preserve">PASS  apps/ms-reservas/tests/reserveService.test.js</w:t>
      </w:r>
    </w:p>
    <w:p>
      <w:pPr>
        <w:pBdr>
          <w:left w:val="single" w:color="1F4E79" w:sz="12" w:space="6"/>
        </w:pBdr>
        <w:shd w:fill="F5F5F5" w:val="clear"/>
        <w:spacing w:line="240" w:lineRule="auto" w:after="0" w:before="0"/>
      </w:pPr>
      <w:r>
        <w:rPr>
          <w:sz w:val="18"/>
          <w:szCs w:val="18"/>
          <w:rFonts w:ascii="Consolas" w:cs="Consolas" w:eastAsia="Consolas" w:hAnsi="Consolas"/>
        </w:rPr>
        <w:t xml:space="preserve">PASS  apps/web/tests/api.timeout.test.js</w:t>
      </w:r>
    </w:p>
    <w:p>
      <w:pPr>
        <w:pBdr>
          <w:left w:val="single" w:color="1F4E79" w:sz="12" w:space="6"/>
        </w:pBdr>
        <w:shd w:fill="F5F5F5" w:val="clear"/>
        <w:spacing w:line="240" w:lineRule="auto" w:after="0" w:before="0"/>
      </w:pPr>
      <w:r>
        <w:rPr>
          <w:sz w:val="18"/>
          <w:szCs w:val="18"/>
          <w:rFonts w:ascii="Consolas" w:cs="Consolas" w:eastAsia="Consolas" w:hAnsi="Consolas"/>
        </w:rPr>
        <w:t xml:space="preserve">--------------------------|---------|----------|---------|---------|</w:t>
      </w:r>
    </w:p>
    <w:p>
      <w:pPr>
        <w:pBdr>
          <w:left w:val="single" w:color="1F4E79" w:sz="12" w:space="6"/>
        </w:pBdr>
        <w:shd w:fill="F5F5F5" w:val="clear"/>
        <w:spacing w:line="240" w:lineRule="auto" w:after="0" w:before="0"/>
      </w:pPr>
      <w:r>
        <w:rPr>
          <w:sz w:val="18"/>
          <w:szCs w:val="18"/>
          <w:rFonts w:ascii="Consolas" w:cs="Consolas" w:eastAsia="Consolas" w:hAnsi="Consolas"/>
        </w:rPr>
        <w:t xml:space="preserve">File                      | % Stmts | % Branch | % Funcs | % Lines |</w:t>
      </w:r>
    </w:p>
    <w:p>
      <w:pPr>
        <w:pBdr>
          <w:left w:val="single" w:color="1F4E79" w:sz="12" w:space="6"/>
        </w:pBdr>
        <w:shd w:fill="F5F5F5" w:val="clear"/>
        <w:spacing w:line="240" w:lineRule="auto" w:after="0" w:before="0"/>
      </w:pPr>
      <w:r>
        <w:rPr>
          <w:sz w:val="18"/>
          <w:szCs w:val="18"/>
          <w:rFonts w:ascii="Consolas" w:cs="Consolas" w:eastAsia="Consolas" w:hAnsi="Consolas"/>
        </w:rPr>
        <w:t xml:space="preserve">--------------------------|---------|----------|---------|---------|</w:t>
      </w:r>
    </w:p>
    <w:p>
      <w:pPr>
        <w:pBdr>
          <w:left w:val="single" w:color="1F4E79" w:sz="12" w:space="6"/>
        </w:pBdr>
        <w:shd w:fill="F5F5F5" w:val="clear"/>
        <w:spacing w:line="240" w:lineRule="auto" w:after="0" w:before="0"/>
      </w:pPr>
      <w:r>
        <w:rPr>
          <w:sz w:val="18"/>
          <w:szCs w:val="18"/>
          <w:rFonts w:ascii="Consolas" w:cs="Consolas" w:eastAsia="Consolas" w:hAnsi="Consolas"/>
        </w:rPr>
        <w:t xml:space="preserve">All files                 |   62.71 |   47.36  |  30.76  |  62.50  |</w:t>
      </w:r>
    </w:p>
    <w:p>
      <w:pPr>
        <w:pBdr>
          <w:left w:val="single" w:color="1F4E79" w:sz="12" w:space="6"/>
        </w:pBdr>
        <w:shd w:fill="F5F5F5" w:val="clear"/>
        <w:spacing w:line="240" w:lineRule="auto" w:after="0" w:before="0"/>
      </w:pPr>
      <w:r>
        <w:rPr>
          <w:sz w:val="18"/>
          <w:szCs w:val="18"/>
          <w:rFonts w:ascii="Consolas" w:cs="Consolas" w:eastAsia="Consolas" w:hAnsi="Consolas"/>
        </w:rPr>
        <w:t xml:space="preserve"> reserva.service.js       |   78.57 |   100    |  50     |  78.57  |</w:t>
      </w:r>
    </w:p>
    <w:p>
      <w:pPr>
        <w:pBdr>
          <w:left w:val="single" w:color="1F4E79" w:sz="12" w:space="6"/>
        </w:pBdr>
        <w:shd w:fill="F5F5F5" w:val="clear"/>
        <w:spacing w:line="240" w:lineRule="auto" w:after="0" w:before="0"/>
      </w:pPr>
      <w:r>
        <w:rPr>
          <w:sz w:val="18"/>
          <w:szCs w:val="18"/>
          <w:rFonts w:ascii="Consolas" w:cs="Consolas" w:eastAsia="Consolas" w:hAnsi="Consolas"/>
        </w:rPr>
        <w:t xml:space="preserve"> api.js                   |   60    |   40     |  33.33  |  59.25  |</w:t>
      </w:r>
    </w:p>
    <w:p>
      <w:pPr>
        <w:pBdr>
          <w:left w:val="single" w:color="1F4E79" w:sz="12" w:space="6"/>
        </w:pBdr>
        <w:shd w:fill="F5F5F5" w:val="clear"/>
        <w:spacing w:line="240" w:lineRule="auto" w:after="0" w:before="0"/>
      </w:pPr>
      <w:r>
        <w:rPr>
          <w:sz w:val="18"/>
          <w:szCs w:val="18"/>
          <w:rFonts w:ascii="Consolas" w:cs="Consolas" w:eastAsia="Consolas" w:hAnsi="Consolas"/>
        </w:rPr>
        <w:t xml:space="preserve">--------------------------|---------|----------|---------|---------|</w:t>
      </w:r>
    </w:p>
    <w:p>
      <w:pPr>
        <w:pBdr>
          <w:left w:val="single" w:color="1F4E79" w:sz="12" w:space="6"/>
        </w:pBdr>
        <w:shd w:fill="F5F5F5" w:val="clear"/>
        <w:spacing w:line="240" w:lineRule="auto" w:after="0" w:before="0"/>
      </w:pPr>
      <w:r>
        <w:rPr>
          <w:sz w:val="18"/>
          <w:szCs w:val="18"/>
          <w:rFonts w:ascii="Consolas" w:cs="Consolas" w:eastAsia="Consolas" w:hAnsi="Consolas"/>
        </w:rPr>
        <w:t xml:space="preserve">Test Suites: 2 passed, 2 total</w:t>
      </w:r>
    </w:p>
    <w:p>
      <w:pPr>
        <w:pBdr>
          <w:bottom w:val="single" w:color="D9D9D9" w:sz="4" w:space="2"/>
          <w:left w:val="single" w:color="1F4E79" w:sz="12" w:space="6"/>
        </w:pBdr>
        <w:shd w:fill="F5F5F5" w:val="clear"/>
        <w:spacing w:line="240" w:lineRule="auto" w:after="0" w:before="0"/>
      </w:pPr>
      <w:r>
        <w:rPr>
          <w:sz w:val="18"/>
          <w:szCs w:val="18"/>
          <w:rFonts w:ascii="Consolas" w:cs="Consolas" w:eastAsia="Consolas" w:hAnsi="Consolas"/>
        </w:rPr>
        <w:t xml:space="preserve">Tests:       4 passed, 4 total</w:t>
      </w:r>
    </w:p>
    <w:p>
      <w:pPr>
        <w:spacing w:before="60" w:after="200"/>
        <w:jc w:val="left"/>
      </w:pPr>
      <w:r>
        <w:rPr>
          <w:i/>
          <w:iCs/>
          <w:color w:val="595959"/>
          <w:sz w:val="18"/>
          <w:szCs w:val="18"/>
        </w:rPr>
        <w:t xml:space="preserve">Evidencia 2: 2 suites y 4 pruebas Jest aprobadas, con reporte de cobertura.</w:t>
      </w:r>
    </w:p>
    <w:p>
      <w:pPr>
        <w:pStyle w:val="Heading1"/>
        <w:spacing w:before="320" w:after="160" w:line="276" w:lineRule="auto"/>
      </w:pPr>
      <w:r>
        <w:t xml:space="preserve">8. Cómo reproducir las pruebas</w:t>
      </w:r>
    </w:p>
    <w:p>
      <w:pPr>
        <w:spacing w:line="360" w:lineRule="auto" w:after="120"/>
        <w:jc w:val="both"/>
      </w:pPr>
      <w:r>
        <w:t xml:space="preserve">Desde la raíz del monorepo, tras instalar las dependencias, las pruebas se reproducen con los siguientes comandos:</w:t>
      </w:r>
    </w:p>
    <w:p>
      <w:pPr>
        <w:pBdr>
          <w:top w:val="single" w:color="D9D9D9" w:sz="4" w:space="2"/>
          <w:left w:val="single" w:color="1F4E79" w:sz="12" w:space="6"/>
        </w:pBdr>
        <w:shd w:fill="F5F5F5" w:val="clear"/>
        <w:spacing w:line="240" w:lineRule="auto" w:after="0" w:before="0"/>
      </w:pPr>
      <w:r>
        <w:rPr>
          <w:sz w:val="18"/>
          <w:szCs w:val="18"/>
          <w:rFonts w:ascii="Consolas" w:cs="Consolas" w:eastAsia="Consolas" w:hAnsi="Consolas"/>
        </w:rPr>
        <w:t xml:space="preserve"># Instalar dependencias (una sola vez)</w:t>
      </w:r>
    </w:p>
    <w:p>
      <w:pPr>
        <w:pBdr>
          <w:left w:val="single" w:color="1F4E79" w:sz="12" w:space="6"/>
        </w:pBdr>
        <w:shd w:fill="F5F5F5" w:val="clear"/>
        <w:spacing w:line="240" w:lineRule="auto" w:after="0" w:before="0"/>
      </w:pPr>
      <w:r>
        <w:rPr>
          <w:sz w:val="18"/>
          <w:szCs w:val="18"/>
          <w:rFonts w:ascii="Consolas" w:cs="Consolas" w:eastAsia="Consolas" w:hAnsi="Consolas"/>
        </w:rPr>
        <w:t xml:space="preserve">npm install</w:t>
      </w:r>
    </w:p>
    <w:p>
      <w:pPr>
        <w:pBdr>
          <w:left w:val="single" w:color="1F4E79" w:sz="12" w:space="6"/>
        </w:pBdr>
        <w:shd w:fill="F5F5F5" w:val="clear"/>
        <w:spacing w:line="240" w:lineRule="auto" w:after="0" w:before="0"/>
      </w:pPr>
      <w:r>
        <w:rPr>
          <w:sz w:val="18"/>
          <w:szCs w:val="18"/>
          <w:rFonts w:ascii="Consolas" w:cs="Consolas" w:eastAsia="Consolas" w:hAnsi="Consolas"/>
        </w:rPr>
        <w:t xml:space="preserve"> </w:t>
      </w:r>
    </w:p>
    <w:p>
      <w:pPr>
        <w:pBdr>
          <w:left w:val="single" w:color="1F4E79" w:sz="12" w:space="6"/>
        </w:pBdr>
        <w:shd w:fill="F5F5F5" w:val="clear"/>
        <w:spacing w:line="240" w:lineRule="auto" w:after="0" w:before="0"/>
      </w:pPr>
      <w:r>
        <w:rPr>
          <w:sz w:val="18"/>
          <w:szCs w:val="18"/>
          <w:rFonts w:ascii="Consolas" w:cs="Consolas" w:eastAsia="Consolas" w:hAnsi="Consolas"/>
        </w:rPr>
        <w:t xml:space="preserve"># 1) Pruebas de integracion del BFF (node:test) -&gt; 6 pruebas</w:t>
      </w:r>
    </w:p>
    <w:p>
      <w:pPr>
        <w:pBdr>
          <w:left w:val="single" w:color="1F4E79" w:sz="12" w:space="6"/>
        </w:pBdr>
        <w:shd w:fill="F5F5F5" w:val="clear"/>
        <w:spacing w:line="240" w:lineRule="auto" w:after="0" w:before="0"/>
      </w:pPr>
      <w:r>
        <w:rPr>
          <w:sz w:val="18"/>
          <w:szCs w:val="18"/>
          <w:rFonts w:ascii="Consolas" w:cs="Consolas" w:eastAsia="Consolas" w:hAnsi="Consolas"/>
        </w:rPr>
        <w:t xml:space="preserve">cd apps/web</w:t>
      </w:r>
    </w:p>
    <w:p>
      <w:pPr>
        <w:pBdr>
          <w:left w:val="single" w:color="1F4E79" w:sz="12" w:space="6"/>
        </w:pBdr>
        <w:shd w:fill="F5F5F5" w:val="clear"/>
        <w:spacing w:line="240" w:lineRule="auto" w:after="0" w:before="0"/>
      </w:pPr>
      <w:r>
        <w:rPr>
          <w:sz w:val="18"/>
          <w:szCs w:val="18"/>
          <w:rFonts w:ascii="Consolas" w:cs="Consolas" w:eastAsia="Consolas" w:hAnsi="Consolas"/>
        </w:rPr>
        <w:t xml:space="preserve">npm test            # ejecuta: node --test tests/api.test.js</w:t>
      </w:r>
    </w:p>
    <w:p>
      <w:pPr>
        <w:pBdr>
          <w:left w:val="single" w:color="1F4E79" w:sz="12" w:space="6"/>
        </w:pBdr>
        <w:shd w:fill="F5F5F5" w:val="clear"/>
        <w:spacing w:line="240" w:lineRule="auto" w:after="0" w:before="0"/>
      </w:pPr>
      <w:r>
        <w:rPr>
          <w:sz w:val="18"/>
          <w:szCs w:val="18"/>
          <w:rFonts w:ascii="Consolas" w:cs="Consolas" w:eastAsia="Consolas" w:hAnsi="Consolas"/>
        </w:rPr>
        <w:t xml:space="preserve"> </w:t>
      </w:r>
    </w:p>
    <w:p>
      <w:pPr>
        <w:pBdr>
          <w:left w:val="single" w:color="1F4E79" w:sz="12" w:space="6"/>
        </w:pBdr>
        <w:shd w:fill="F5F5F5" w:val="clear"/>
        <w:spacing w:line="240" w:lineRule="auto" w:after="0" w:before="0"/>
      </w:pPr>
      <w:r>
        <w:rPr>
          <w:sz w:val="18"/>
          <w:szCs w:val="18"/>
          <w:rFonts w:ascii="Consolas" w:cs="Consolas" w:eastAsia="Consolas" w:hAnsi="Consolas"/>
        </w:rPr>
        <w:t xml:space="preserve"># 2) Pruebas de dominio y resiliencia (Jest) + cobertura -&gt; 4 pruebas</w:t>
      </w:r>
    </w:p>
    <w:p>
      <w:pPr>
        <w:pBdr>
          <w:left w:val="single" w:color="1F4E79" w:sz="12" w:space="6"/>
        </w:pBdr>
        <w:shd w:fill="F5F5F5" w:val="clear"/>
        <w:spacing w:line="240" w:lineRule="auto" w:after="0" w:before="0"/>
      </w:pPr>
      <w:r>
        <w:rPr>
          <w:sz w:val="18"/>
          <w:szCs w:val="18"/>
          <w:rFonts w:ascii="Consolas" w:cs="Consolas" w:eastAsia="Consolas" w:hAnsi="Consolas"/>
        </w:rPr>
        <w:t xml:space="preserve">cd ../..</w:t>
      </w:r>
    </w:p>
    <w:p>
      <w:pPr>
        <w:pBdr>
          <w:bottom w:val="single" w:color="D9D9D9" w:sz="4" w:space="2"/>
          <w:left w:val="single" w:color="1F4E79" w:sz="12" w:space="6"/>
        </w:pBdr>
        <w:shd w:fill="F5F5F5" w:val="clear"/>
        <w:spacing w:line="240" w:lineRule="auto" w:after="0" w:before="0"/>
      </w:pPr>
      <w:r>
        <w:rPr>
          <w:sz w:val="18"/>
          <w:szCs w:val="18"/>
          <w:rFonts w:ascii="Consolas" w:cs="Consolas" w:eastAsia="Consolas" w:hAnsi="Consolas"/>
        </w:rPr>
        <w:t xml:space="preserve">npx jest --coverage # genera coverage/lcov-report/index.html</w:t>
      </w:r>
    </w:p>
    <w:p>
      <w:pPr>
        <w:spacing w:line="360" w:lineRule="auto" w:after="120"/>
        <w:jc w:val="both"/>
      </w:pPr>
      <w:r>
        <w:t xml:space="preserve">El reporte HTML de cobertura queda disponible en </w:t>
      </w:r>
      <w:r>
        <w:rPr>
          <w:sz w:val="20"/>
          <w:szCs w:val="20"/>
          <w:rFonts w:ascii="Consolas" w:cs="Consolas" w:eastAsia="Consolas" w:hAnsi="Consolas"/>
        </w:rPr>
        <w:t xml:space="preserve">coverage/lcov-report/index.html</w:t>
      </w:r>
      <w:r>
        <w:t xml:space="preserve"> para su revisión en el navegador.</w:t>
      </w:r>
    </w:p>
    <w:p>
      <w:pPr>
        <w:pStyle w:val="Heading1"/>
        <w:spacing w:before="320" w:after="160" w:line="276" w:lineRule="auto"/>
      </w:pPr>
      <w:r>
        <w:t xml:space="preserve">9. Alcance, limitaciones y mejoras futuras</w:t>
      </w:r>
    </w:p>
    <w:p>
      <w:pPr>
        <w:spacing w:line="360" w:lineRule="auto" w:after="120"/>
        <w:jc w:val="both"/>
      </w:pPr>
      <w:r>
        <w:t xml:space="preserve">En aras de la transparencia, se documentan los límites actuales de la batería de pruebas y las líneas de trabajo recomendadas:</w:t>
      </w:r>
    </w:p>
    <w:p>
      <w:pPr>
        <w:pStyle w:val="ListParagraph"/>
        <w:numPr>
          <w:ilvl w:val="0"/>
          <w:numId w:val="1"/>
        </w:numPr>
        <w:spacing w:line="360" w:lineRule="auto" w:after="120"/>
        <w:jc w:val="both"/>
      </w:pPr>
      <w:r>
        <w:t xml:space="preserve">La cobertura está concentrada en la lógica de dominio (Saga de reservas) y en el cliente del BFF; los controladores de ruta de Next.js y el paquete de acceso a datos (packages/supabase-db) aún no cuentan con pruebas dedicadas.</w:t>
      </w:r>
    </w:p>
    <w:p>
      <w:pPr>
        <w:pStyle w:val="ListParagraph"/>
        <w:numPr>
          <w:ilvl w:val="0"/>
          <w:numId w:val="1"/>
        </w:numPr>
        <w:spacing w:line="360" w:lineRule="auto" w:after="120"/>
        <w:jc w:val="both"/>
      </w:pPr>
      <w:r>
        <w:t xml:space="preserve">La cobertura global de funciones es perfectible: se recomienda añadir pruebas a más controladores de ruta del BFF para elevarla por encima del 60 % en todos los componentes.</w:t>
      </w:r>
    </w:p>
    <w:p>
      <w:pPr>
        <w:pStyle w:val="ListParagraph"/>
        <w:numPr>
          <w:ilvl w:val="0"/>
          <w:numId w:val="1"/>
        </w:numPr>
        <w:spacing w:line="360" w:lineRule="auto" w:after="120"/>
        <w:jc w:val="both"/>
      </w:pPr>
      <w:r>
        <w:t xml:space="preserve">Se recomienda incorporar pruebas de extremo a extremo (end-to-end) sobre el flujo de reserva completo, una vez disponible un entorno de integración con base de datos de prueba.</w:t>
      </w:r>
    </w:p>
    <w:p>
      <w:pPr>
        <w:pStyle w:val="Heading1"/>
        <w:spacing w:before="320" w:after="160" w:line="276" w:lineRule="auto"/>
      </w:pPr>
      <w:r>
        <w:t xml:space="preserve">10. Conclusiones</w:t>
      </w:r>
    </w:p>
    <w:p>
      <w:pPr>
        <w:spacing w:line="360" w:lineRule="auto" w:after="120"/>
        <w:jc w:val="both"/>
      </w:pPr>
      <w:r>
        <w:t xml:space="preserve">Las 10 pruebas automatizadas implementadas se ejecutan de forma satisfactoria (100 % aprobadas), de manera determinista y sin dependencias externas, validando los componentes centrales del sistema.</w:t>
      </w:r>
    </w:p>
    <w:p>
      <w:pPr>
        <w:spacing w:line="360" w:lineRule="auto" w:after="120"/>
        <w:jc w:val="both"/>
      </w:pPr>
      <w:r>
        <w:t xml:space="preserve">La lógica crítica de negocio queda respaldada: el patrón Saga del microservicio de reservas valida el control de capacidad (CQRS) y revierte correctamente ante fallos (compensación, con sus ramas cubiertas al 100 %), mientras que el orquestador (BFF) gestiona de forma controlada los escenarios de error y de latencia mediante timeout y respuesta de respaldo.</w:t>
      </w:r>
    </w:p>
    <w:p>
      <w:pPr>
        <w:spacing w:line="360" w:lineRule="auto" w:after="120"/>
        <w:jc w:val="both"/>
      </w:pPr>
      <w:r>
        <w:t xml:space="preserve">En conjunto, la batería de pruebas constituye evidencia objetiva de que los componentes centrales de Parkings Together se comportan según lo esperado y quedan protegidos ante regresiones, sentando además una base clara para ampliar la cobertura a las áreas señaladas en la sección 9.</w:t>
      </w:r>
    </w:p>
    <w:sectPr>
      <w:headerReference w:type="default" r:id="rId6"/>
      <w:footerReference w:type="default" r:id="rId7"/>
      <w:pgSz w:w="11906" w:h="16838" w:orient="portrait"/>
      <w:pgMar w:top="1417" w:right="1417" w:bottom="1417" w:left="1417" w:header="708" w:footer="708" w:gutter="0"/>
      <w:pgNumType w:start="1"/>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808080"/>
        <w:sz w:val="18"/>
        <w:szCs w:val="18"/>
      </w:rPr>
      <w:t xml:space="preserve">Página </w:t>
    </w:r>
    <w:r>
      <w:rPr>
        <w:color w:val="808080"/>
        <w:sz w:val="18"/>
        <w:szCs w:val="18"/>
      </w:rPr>
      <w:fldChar w:fldCharType="begin"/>
      <w:instrText xml:space="preserve">PAGE</w:instrText>
      <w:fldChar w:fldCharType="separate"/>
      <w:fldChar w:fldCharType="end"/>
    </w:r>
    <w:r>
      <w:rPr>
        <w:color w:val="808080"/>
        <w:sz w:val="18"/>
        <w:szCs w:val="18"/>
      </w:rPr>
      <w:t xml:space="preserve"> de </w:t>
    </w:r>
    <w:r>
      <w:rPr>
        <w:color w:val="808080"/>
        <w:sz w:val="18"/>
        <w:szCs w:val="18"/>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space="4"/>
      </w:pBdr>
      <w:jc w:val="right"/>
    </w:pPr>
    <w:r>
      <w:rPr>
        <w:color w:val="808080"/>
        <w:sz w:val="16"/>
        <w:szCs w:val="16"/>
      </w:rPr>
      <w:t xml:space="preserve">Parkings Together · Informe de pruebas de software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4"/>
        <w:szCs w:val="24"/>
        <w:rFonts w:ascii="Arial" w:cs="Arial" w:eastAsia="Arial" w:hAnsi="Arial"/>
      </w:rPr>
    </w:rPrDefault>
    <w:pPrDefault>
      <w:pPr>
        <w:spacing w:line="360"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pBdr>
        <w:bottom w:val="single" w:color="BFD4EA" w:sz="6" w:space="4"/>
      </w:pBdr>
      <w:spacing w:before="320" w:after="160"/>
      <w:outlineLvl w:val="0"/>
    </w:pPr>
    <w:rPr>
      <w:b/>
      <w:bCs/>
      <w:color w:val="1F4E79"/>
      <w:sz w:val="30"/>
      <w:szCs w:val="30"/>
      <w:rFonts w:ascii="Arial" w:cs="Arial" w:eastAsia="Arial" w:hAnsi="Arial"/>
    </w:rPr>
  </w:style>
  <w:style w:type="paragraph" w:styleId="Heading2">
    <w:name w:val="Heading 2"/>
    <w:basedOn w:val="Normal"/>
    <w:next w:val="Normal"/>
    <w:qFormat/>
    <w:pPr>
      <w:spacing w:before="220" w:after="120"/>
      <w:outlineLvl w:val="1"/>
    </w:pPr>
    <w:rPr>
      <w:b/>
      <w:bCs/>
      <w:color w:val="2E5B8A"/>
      <w:sz w:val="26"/>
      <w:szCs w:val="26"/>
      <w:rFonts w:ascii="Arial" w:cs="Arial" w:eastAsia="Arial" w:hAnsi="Arial"/>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Informe de Pruebas — Parkings Together</dc:title>
  <dc:creator>Equipo Parkings Together</dc:creator>
  <dc:description>Informe de pruebas de software</dc:description>
  <cp:lastModifiedBy>Un-named</cp:lastModifiedBy>
  <cp:revision>1</cp:revision>
  <dcterms:created xsi:type="dcterms:W3CDTF">2026-06-12T22:17:36.805Z</dcterms:created>
  <dcterms:modified xsi:type="dcterms:W3CDTF">2026-06-12T22:17:36.806Z</dcterms:modified>
</cp:coreProperties>
</file>

<file path=docProps/custom.xml><?xml version="1.0" encoding="utf-8"?>
<Properties xmlns="http://schemas.openxmlformats.org/officeDocument/2006/custom-properties" xmlns:vt="http://schemas.openxmlformats.org/officeDocument/2006/docPropsVTypes"/>
</file>