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80"/>
        <w:spacing w:after="0"/>
        <w:rPr>
          <w:sz w:val="20"/>
          <w:szCs w:val="20"/>
          <w:color w:val="auto"/>
        </w:rPr>
      </w:pPr>
      <w:r>
        <w:rPr>
          <w:rFonts w:ascii="Arial" w:cs="Arial" w:eastAsia="Arial" w:hAnsi="Arial"/>
          <w:sz w:val="52"/>
          <w:szCs w:val="52"/>
          <w:color w:val="auto"/>
        </w:rPr>
        <w:t>AI_Phase4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ind w:right="520"/>
        <w:spacing w:after="0" w:line="312" w:lineRule="auto"/>
        <w:rPr>
          <w:sz w:val="20"/>
          <w:szCs w:val="20"/>
          <w:color w:val="auto"/>
        </w:rPr>
      </w:pPr>
      <w:r>
        <w:rPr>
          <w:rFonts w:ascii="Arial" w:cs="Arial" w:eastAsia="Arial" w:hAnsi="Arial"/>
          <w:sz w:val="22"/>
          <w:szCs w:val="22"/>
          <w:color w:val="auto"/>
        </w:rPr>
        <w:t>From the provided data on energy consumption in the PJM East Region between 2001 and 2018, several inferences and observations can be made:</w:t>
      </w:r>
    </w:p>
    <w:p>
      <w:pPr>
        <w:spacing w:after="0" w:line="215" w:lineRule="exact"/>
        <w:rPr>
          <w:sz w:val="24"/>
          <w:szCs w:val="24"/>
          <w:color w:val="auto"/>
        </w:rPr>
      </w:pPr>
    </w:p>
    <w:p>
      <w:pPr>
        <w:ind w:right="80"/>
        <w:spacing w:after="0" w:line="294" w:lineRule="auto"/>
        <w:tabs>
          <w:tab w:leader="none" w:pos="244" w:val="left"/>
        </w:tabs>
        <w:numPr>
          <w:ilvl w:val="0"/>
          <w:numId w:val="1"/>
        </w:numPr>
        <w:rPr>
          <w:rFonts w:ascii="Arial" w:cs="Arial" w:eastAsia="Arial" w:hAnsi="Arial"/>
          <w:sz w:val="22"/>
          <w:szCs w:val="22"/>
          <w:color w:val="auto"/>
        </w:rPr>
      </w:pPr>
      <w:r>
        <w:rPr>
          <w:rFonts w:ascii="Arial" w:cs="Arial" w:eastAsia="Arial" w:hAnsi="Arial"/>
          <w:sz w:val="22"/>
          <w:szCs w:val="22"/>
          <w:color w:val="auto"/>
        </w:rPr>
        <w:t>Steady Energy Consumption: The energy consumption in the region appears to be relatively stable over the years. The consumption remains within the range of approximately 2,906 MW to 2,909 MW, with occasional variations.</w:t>
      </w:r>
    </w:p>
    <w:p>
      <w:pPr>
        <w:spacing w:after="0" w:line="234" w:lineRule="exact"/>
        <w:rPr>
          <w:rFonts w:ascii="Arial" w:cs="Arial" w:eastAsia="Arial" w:hAnsi="Arial"/>
          <w:sz w:val="22"/>
          <w:szCs w:val="22"/>
          <w:color w:val="auto"/>
        </w:rPr>
      </w:pPr>
    </w:p>
    <w:p>
      <w:pPr>
        <w:ind w:right="100"/>
        <w:spacing w:after="0" w:line="288" w:lineRule="auto"/>
        <w:tabs>
          <w:tab w:leader="none" w:pos="244" w:val="left"/>
        </w:tabs>
        <w:numPr>
          <w:ilvl w:val="0"/>
          <w:numId w:val="1"/>
        </w:numPr>
        <w:rPr>
          <w:rFonts w:ascii="Arial" w:cs="Arial" w:eastAsia="Arial" w:hAnsi="Arial"/>
          <w:sz w:val="22"/>
          <w:szCs w:val="22"/>
          <w:color w:val="auto"/>
        </w:rPr>
      </w:pPr>
      <w:r>
        <w:rPr>
          <w:rFonts w:ascii="Arial" w:cs="Arial" w:eastAsia="Arial" w:hAnsi="Arial"/>
          <w:sz w:val="22"/>
          <w:szCs w:val="22"/>
          <w:color w:val="auto"/>
        </w:rPr>
        <w:t>Seasonal Patterns: The data is divided into date ranges, and it can be observed that there are seasonal patterns in energy consumption. Typically, energy consumption tends to be higher during certain times of the year, which may be related to weather conditions and heating or cooling needs.</w:t>
      </w:r>
    </w:p>
    <w:p>
      <w:pPr>
        <w:spacing w:after="0" w:line="240" w:lineRule="exact"/>
        <w:rPr>
          <w:rFonts w:ascii="Arial" w:cs="Arial" w:eastAsia="Arial" w:hAnsi="Arial"/>
          <w:sz w:val="22"/>
          <w:szCs w:val="22"/>
          <w:color w:val="auto"/>
        </w:rPr>
      </w:pPr>
    </w:p>
    <w:p>
      <w:pPr>
        <w:jc w:val="both"/>
        <w:ind w:right="340"/>
        <w:spacing w:after="0" w:line="294" w:lineRule="auto"/>
        <w:tabs>
          <w:tab w:leader="none" w:pos="244" w:val="left"/>
        </w:tabs>
        <w:numPr>
          <w:ilvl w:val="0"/>
          <w:numId w:val="1"/>
        </w:numPr>
        <w:rPr>
          <w:rFonts w:ascii="Arial" w:cs="Arial" w:eastAsia="Arial" w:hAnsi="Arial"/>
          <w:sz w:val="22"/>
          <w:szCs w:val="22"/>
          <w:color w:val="auto"/>
        </w:rPr>
      </w:pPr>
      <w:r>
        <w:rPr>
          <w:rFonts w:ascii="Arial" w:cs="Arial" w:eastAsia="Arial" w:hAnsi="Arial"/>
          <w:sz w:val="22"/>
          <w:szCs w:val="22"/>
          <w:color w:val="auto"/>
        </w:rPr>
        <w:t>Peak Hours: The specific datetime data provides information about energy consumption at different hours of the day. Peak energy consumption often occurs during certain hours, which could be associated with increased demand during daytime or evening hours.</w:t>
      </w:r>
    </w:p>
    <w:p>
      <w:pPr>
        <w:spacing w:after="0" w:line="234" w:lineRule="exact"/>
        <w:rPr>
          <w:rFonts w:ascii="Arial" w:cs="Arial" w:eastAsia="Arial" w:hAnsi="Arial"/>
          <w:sz w:val="22"/>
          <w:szCs w:val="22"/>
          <w:color w:val="auto"/>
        </w:rPr>
      </w:pPr>
    </w:p>
    <w:p>
      <w:pPr>
        <w:ind w:right="80"/>
        <w:spacing w:after="0" w:line="313" w:lineRule="auto"/>
        <w:tabs>
          <w:tab w:leader="none" w:pos="244" w:val="left"/>
        </w:tabs>
        <w:numPr>
          <w:ilvl w:val="0"/>
          <w:numId w:val="1"/>
        </w:numPr>
        <w:rPr>
          <w:rFonts w:ascii="Arial" w:cs="Arial" w:eastAsia="Arial" w:hAnsi="Arial"/>
          <w:sz w:val="21"/>
          <w:szCs w:val="21"/>
          <w:color w:val="auto"/>
        </w:rPr>
      </w:pPr>
      <w:r>
        <w:rPr>
          <w:rFonts w:ascii="Arial" w:cs="Arial" w:eastAsia="Arial" w:hAnsi="Arial"/>
          <w:sz w:val="21"/>
          <w:szCs w:val="21"/>
          <w:color w:val="auto"/>
        </w:rPr>
        <w:t>Label Distribution: The label counts indicate that certain energy consumption ranges are more common than others. For example, the range "20239.80 - 21189.10" has a significantly higher count compared to others, suggesting that consumption frequently falls within this range.</w:t>
      </w:r>
    </w:p>
    <w:p>
      <w:pPr>
        <w:spacing w:after="0" w:line="218" w:lineRule="exact"/>
        <w:rPr>
          <w:rFonts w:ascii="Arial" w:cs="Arial" w:eastAsia="Arial" w:hAnsi="Arial"/>
          <w:sz w:val="21"/>
          <w:szCs w:val="21"/>
          <w:color w:val="auto"/>
        </w:rPr>
      </w:pPr>
    </w:p>
    <w:p>
      <w:pPr>
        <w:ind w:right="120"/>
        <w:spacing w:after="0" w:line="288" w:lineRule="auto"/>
        <w:tabs>
          <w:tab w:leader="none" w:pos="244" w:val="left"/>
        </w:tabs>
        <w:numPr>
          <w:ilvl w:val="0"/>
          <w:numId w:val="1"/>
        </w:numPr>
        <w:rPr>
          <w:rFonts w:ascii="Arial" w:cs="Arial" w:eastAsia="Arial" w:hAnsi="Arial"/>
          <w:sz w:val="22"/>
          <w:szCs w:val="22"/>
          <w:color w:val="auto"/>
        </w:rPr>
      </w:pPr>
      <w:r>
        <w:rPr>
          <w:rFonts w:ascii="Arial" w:cs="Arial" w:eastAsia="Arial" w:hAnsi="Arial"/>
          <w:sz w:val="22"/>
          <w:szCs w:val="22"/>
          <w:color w:val="auto"/>
        </w:rPr>
        <w:t>Longer-Term Trends: To identify longer-term trends or changes in energy consumption, more extensive analysis, such as time series analysis, would be necessary. This data provides a snapshot of consumption at specific time intervals, but it doesn't show how consumption changes over extended periods.</w:t>
      </w:r>
    </w:p>
    <w:p>
      <w:pPr>
        <w:spacing w:after="0" w:line="240" w:lineRule="exact"/>
        <w:rPr>
          <w:rFonts w:ascii="Arial" w:cs="Arial" w:eastAsia="Arial" w:hAnsi="Arial"/>
          <w:sz w:val="22"/>
          <w:szCs w:val="22"/>
          <w:color w:val="auto"/>
        </w:rPr>
      </w:pPr>
    </w:p>
    <w:p>
      <w:pPr>
        <w:jc w:val="both"/>
        <w:ind w:right="760"/>
        <w:spacing w:after="0" w:line="294" w:lineRule="auto"/>
        <w:tabs>
          <w:tab w:leader="none" w:pos="244" w:val="left"/>
        </w:tabs>
        <w:numPr>
          <w:ilvl w:val="0"/>
          <w:numId w:val="1"/>
        </w:numPr>
        <w:rPr>
          <w:rFonts w:ascii="Arial" w:cs="Arial" w:eastAsia="Arial" w:hAnsi="Arial"/>
          <w:sz w:val="22"/>
          <w:szCs w:val="22"/>
          <w:color w:val="auto"/>
        </w:rPr>
      </w:pPr>
      <w:r>
        <w:rPr>
          <w:rFonts w:ascii="Arial" w:cs="Arial" w:eastAsia="Arial" w:hAnsi="Arial"/>
          <w:sz w:val="22"/>
          <w:szCs w:val="22"/>
          <w:color w:val="auto"/>
        </w:rPr>
        <w:t>Data Quality: The data quality and consistency should be evaluated to ensure that it is reliable for any further analysis. Missing data, outliers, or data anomalies may impact the accuracy of inferences.</w:t>
      </w:r>
    </w:p>
    <w:p>
      <w:pPr>
        <w:spacing w:after="0" w:line="234" w:lineRule="exact"/>
        <w:rPr>
          <w:rFonts w:ascii="Arial" w:cs="Arial" w:eastAsia="Arial" w:hAnsi="Arial"/>
          <w:sz w:val="22"/>
          <w:szCs w:val="22"/>
          <w:color w:val="auto"/>
        </w:rPr>
      </w:pPr>
    </w:p>
    <w:p>
      <w:pPr>
        <w:ind w:right="220"/>
        <w:spacing w:after="0" w:line="313" w:lineRule="auto"/>
        <w:tabs>
          <w:tab w:leader="none" w:pos="244" w:val="left"/>
        </w:tabs>
        <w:numPr>
          <w:ilvl w:val="0"/>
          <w:numId w:val="1"/>
        </w:numPr>
        <w:rPr>
          <w:rFonts w:ascii="Arial" w:cs="Arial" w:eastAsia="Arial" w:hAnsi="Arial"/>
          <w:sz w:val="21"/>
          <w:szCs w:val="21"/>
          <w:color w:val="auto"/>
        </w:rPr>
      </w:pPr>
      <w:r>
        <w:rPr>
          <w:rFonts w:ascii="Arial" w:cs="Arial" w:eastAsia="Arial" w:hAnsi="Arial"/>
          <w:sz w:val="21"/>
          <w:szCs w:val="21"/>
          <w:color w:val="auto"/>
        </w:rPr>
        <w:t>External Factors: Energy consumption patterns may be influenced by various external factors, such as economic conditions, population growth, energy policies, and weather events. To understand these influences, additional data and contextual information are needed.</w:t>
      </w:r>
    </w:p>
    <w:p>
      <w:pPr>
        <w:spacing w:after="0" w:line="219" w:lineRule="exact"/>
        <w:rPr>
          <w:sz w:val="24"/>
          <w:szCs w:val="24"/>
          <w:color w:val="auto"/>
        </w:rPr>
      </w:pPr>
    </w:p>
    <w:p>
      <w:pPr>
        <w:ind w:right="260"/>
        <w:spacing w:after="0" w:line="288" w:lineRule="auto"/>
        <w:rPr>
          <w:sz w:val="20"/>
          <w:szCs w:val="20"/>
          <w:color w:val="auto"/>
        </w:rPr>
      </w:pPr>
      <w:r>
        <w:rPr>
          <w:rFonts w:ascii="Arial" w:cs="Arial" w:eastAsia="Arial" w:hAnsi="Arial"/>
          <w:sz w:val="22"/>
          <w:szCs w:val="22"/>
          <w:color w:val="auto"/>
        </w:rPr>
        <w:t>In summary, this data provides a starting point for analyzing energy consumption in the PJM East Region, but a more comprehensive analysis, including time series analysis and consideration of external factors, would be necessary to draw more definitive conclusions and make informed decisions related to energy management in the region.</w:t>
      </w:r>
    </w:p>
    <w:p>
      <w:pPr>
        <w:sectPr>
          <w:pgSz w:w="12240" w:h="15840" w:orient="portrait"/>
          <w:cols w:equalWidth="0" w:num="1">
            <w:col w:w="9360"/>
          </w:cols>
          <w:pgMar w:left="1440" w:top="1405" w:right="1440" w:bottom="1124" w:gutter="0" w:footer="0" w:header="0"/>
        </w:sectPr>
      </w:pPr>
    </w:p>
    <w:bookmarkStart w:id="1" w:name="page2"/>
    <w:bookmarkEnd w:id="1"/>
    <w:p>
      <w:pPr>
        <w:spacing w:after="0" w:line="276" w:lineRule="exact"/>
        <w:rPr>
          <w:sz w:val="20"/>
          <w:szCs w:val="20"/>
          <w:color w:val="auto"/>
        </w:rPr>
      </w:pPr>
    </w:p>
    <w:p>
      <w:pPr>
        <w:ind w:right="200"/>
        <w:spacing w:after="0" w:line="312" w:lineRule="auto"/>
        <w:rPr>
          <w:sz w:val="20"/>
          <w:szCs w:val="20"/>
          <w:color w:val="auto"/>
        </w:rPr>
      </w:pPr>
      <w:r>
        <w:rPr>
          <w:rFonts w:ascii="Arial" w:cs="Arial" w:eastAsia="Arial" w:hAnsi="Arial"/>
          <w:sz w:val="22"/>
          <w:szCs w:val="22"/>
          <w:color w:val="auto"/>
        </w:rPr>
        <w:t>From the provided data on energy consumption for Dominion Virginia Power (DOM) during the period from 2005 to 2018, here are some inferences and observations:</w:t>
      </w:r>
    </w:p>
    <w:p>
      <w:pPr>
        <w:spacing w:after="0" w:line="215" w:lineRule="exact"/>
        <w:rPr>
          <w:sz w:val="20"/>
          <w:szCs w:val="20"/>
          <w:color w:val="auto"/>
        </w:rPr>
      </w:pPr>
    </w:p>
    <w:p>
      <w:pPr>
        <w:ind w:right="260"/>
        <w:spacing w:after="0" w:line="288" w:lineRule="auto"/>
        <w:tabs>
          <w:tab w:leader="none" w:pos="244" w:val="left"/>
        </w:tabs>
        <w:numPr>
          <w:ilvl w:val="0"/>
          <w:numId w:val="2"/>
        </w:numPr>
        <w:rPr>
          <w:rFonts w:ascii="Arial" w:cs="Arial" w:eastAsia="Arial" w:hAnsi="Arial"/>
          <w:sz w:val="22"/>
          <w:szCs w:val="22"/>
          <w:color w:val="auto"/>
        </w:rPr>
      </w:pPr>
      <w:r>
        <w:rPr>
          <w:rFonts w:ascii="Arial" w:cs="Arial" w:eastAsia="Arial" w:hAnsi="Arial"/>
          <w:sz w:val="22"/>
          <w:szCs w:val="22"/>
          <w:color w:val="auto"/>
        </w:rPr>
        <w:t>Stable Energy Consumption: Similar to the PJM East Region data, the energy consumption for Dominion Virginia Power appears relatively stable throughout the years, with slight fluctuations. The energy consumption remains within the range of approximately 2,323 MW to 2,326 MW.</w:t>
      </w:r>
    </w:p>
    <w:p>
      <w:pPr>
        <w:spacing w:after="0" w:line="240" w:lineRule="exact"/>
        <w:rPr>
          <w:rFonts w:ascii="Arial" w:cs="Arial" w:eastAsia="Arial" w:hAnsi="Arial"/>
          <w:sz w:val="22"/>
          <w:szCs w:val="22"/>
          <w:color w:val="auto"/>
        </w:rPr>
      </w:pPr>
    </w:p>
    <w:p>
      <w:pPr>
        <w:ind w:right="80"/>
        <w:spacing w:after="0" w:line="288" w:lineRule="auto"/>
        <w:tabs>
          <w:tab w:leader="none" w:pos="244" w:val="left"/>
        </w:tabs>
        <w:numPr>
          <w:ilvl w:val="0"/>
          <w:numId w:val="2"/>
        </w:numPr>
        <w:rPr>
          <w:rFonts w:ascii="Arial" w:cs="Arial" w:eastAsia="Arial" w:hAnsi="Arial"/>
          <w:sz w:val="22"/>
          <w:szCs w:val="22"/>
          <w:color w:val="auto"/>
        </w:rPr>
      </w:pPr>
      <w:r>
        <w:rPr>
          <w:rFonts w:ascii="Arial" w:cs="Arial" w:eastAsia="Arial" w:hAnsi="Arial"/>
          <w:sz w:val="22"/>
          <w:szCs w:val="22"/>
          <w:color w:val="auto"/>
        </w:rPr>
        <w:t>Seasonal Patterns: The data is divided into date ranges, and there are indications of seasonal patterns in energy consumption. Consumption tends to be higher during specific time periods, which may be associated with changing weather conditions and energy demands (e.g., increased heating or cooling needs during extreme weather seasons).</w:t>
      </w:r>
    </w:p>
    <w:p>
      <w:pPr>
        <w:spacing w:after="0" w:line="240" w:lineRule="exact"/>
        <w:rPr>
          <w:rFonts w:ascii="Arial" w:cs="Arial" w:eastAsia="Arial" w:hAnsi="Arial"/>
          <w:sz w:val="22"/>
          <w:szCs w:val="22"/>
          <w:color w:val="auto"/>
        </w:rPr>
      </w:pPr>
    </w:p>
    <w:p>
      <w:pPr>
        <w:ind w:right="40"/>
        <w:spacing w:after="0" w:line="294" w:lineRule="auto"/>
        <w:tabs>
          <w:tab w:leader="none" w:pos="244" w:val="left"/>
        </w:tabs>
        <w:numPr>
          <w:ilvl w:val="0"/>
          <w:numId w:val="2"/>
        </w:numPr>
        <w:rPr>
          <w:rFonts w:ascii="Arial" w:cs="Arial" w:eastAsia="Arial" w:hAnsi="Arial"/>
          <w:sz w:val="22"/>
          <w:szCs w:val="22"/>
          <w:color w:val="auto"/>
        </w:rPr>
      </w:pPr>
      <w:r>
        <w:rPr>
          <w:rFonts w:ascii="Arial" w:cs="Arial" w:eastAsia="Arial" w:hAnsi="Arial"/>
          <w:sz w:val="22"/>
          <w:szCs w:val="22"/>
          <w:color w:val="auto"/>
        </w:rPr>
        <w:t>Peak Hours: The data provides specific timestamps for energy consumption at different hours of the day. These timestamps can be used to identify peak hours when energy demand is at its highest.</w:t>
      </w:r>
    </w:p>
    <w:p>
      <w:pPr>
        <w:spacing w:after="0" w:line="234" w:lineRule="exact"/>
        <w:rPr>
          <w:rFonts w:ascii="Arial" w:cs="Arial" w:eastAsia="Arial" w:hAnsi="Arial"/>
          <w:sz w:val="22"/>
          <w:szCs w:val="22"/>
          <w:color w:val="auto"/>
        </w:rPr>
      </w:pPr>
    </w:p>
    <w:p>
      <w:pPr>
        <w:jc w:val="both"/>
        <w:ind w:right="540"/>
        <w:spacing w:after="0" w:line="288" w:lineRule="auto"/>
        <w:tabs>
          <w:tab w:leader="none" w:pos="244" w:val="left"/>
        </w:tabs>
        <w:numPr>
          <w:ilvl w:val="0"/>
          <w:numId w:val="2"/>
        </w:numPr>
        <w:rPr>
          <w:rFonts w:ascii="Arial" w:cs="Arial" w:eastAsia="Arial" w:hAnsi="Arial"/>
          <w:sz w:val="22"/>
          <w:szCs w:val="22"/>
          <w:color w:val="auto"/>
        </w:rPr>
      </w:pPr>
      <w:r>
        <w:rPr>
          <w:rFonts w:ascii="Arial" w:cs="Arial" w:eastAsia="Arial" w:hAnsi="Arial"/>
          <w:sz w:val="22"/>
          <w:szCs w:val="22"/>
          <w:color w:val="auto"/>
        </w:rPr>
        <w:t>Label Distribution: The label counts suggest that certain energy consumption ranges are more common than others. For instance, the range "6556.48 - 6964.44" has a significantly higher count compared to other ranges, indicating that energy consumption frequently falls within this range.</w:t>
      </w:r>
    </w:p>
    <w:p>
      <w:pPr>
        <w:spacing w:after="0" w:line="240" w:lineRule="exact"/>
        <w:rPr>
          <w:rFonts w:ascii="Arial" w:cs="Arial" w:eastAsia="Arial" w:hAnsi="Arial"/>
          <w:sz w:val="22"/>
          <w:szCs w:val="22"/>
          <w:color w:val="auto"/>
        </w:rPr>
      </w:pPr>
    </w:p>
    <w:p>
      <w:pPr>
        <w:ind w:right="40"/>
        <w:spacing w:after="0" w:line="288" w:lineRule="auto"/>
        <w:tabs>
          <w:tab w:leader="none" w:pos="244" w:val="left"/>
        </w:tabs>
        <w:numPr>
          <w:ilvl w:val="0"/>
          <w:numId w:val="2"/>
        </w:numPr>
        <w:rPr>
          <w:rFonts w:ascii="Arial" w:cs="Arial" w:eastAsia="Arial" w:hAnsi="Arial"/>
          <w:sz w:val="22"/>
          <w:szCs w:val="22"/>
          <w:color w:val="auto"/>
        </w:rPr>
      </w:pPr>
      <w:r>
        <w:rPr>
          <w:rFonts w:ascii="Arial" w:cs="Arial" w:eastAsia="Arial" w:hAnsi="Arial"/>
          <w:sz w:val="22"/>
          <w:szCs w:val="22"/>
          <w:color w:val="auto"/>
        </w:rPr>
        <w:t>Longer-Term Trends: Similar to the PJM East Region data, to identify longer-term trends and changes in energy consumption, a more extensive analysis, such as time series analysis, would be necessary. The provided data captures consumption at specific time intervals but does not show how consumption changes over extended periods.</w:t>
      </w:r>
    </w:p>
    <w:p>
      <w:pPr>
        <w:spacing w:after="0" w:line="240" w:lineRule="exact"/>
        <w:rPr>
          <w:rFonts w:ascii="Arial" w:cs="Arial" w:eastAsia="Arial" w:hAnsi="Arial"/>
          <w:sz w:val="22"/>
          <w:szCs w:val="22"/>
          <w:color w:val="auto"/>
        </w:rPr>
      </w:pPr>
    </w:p>
    <w:p>
      <w:pPr>
        <w:ind w:right="220"/>
        <w:spacing w:after="0" w:line="294" w:lineRule="auto"/>
        <w:tabs>
          <w:tab w:leader="none" w:pos="244" w:val="left"/>
        </w:tabs>
        <w:numPr>
          <w:ilvl w:val="0"/>
          <w:numId w:val="2"/>
        </w:numPr>
        <w:rPr>
          <w:rFonts w:ascii="Arial" w:cs="Arial" w:eastAsia="Arial" w:hAnsi="Arial"/>
          <w:sz w:val="22"/>
          <w:szCs w:val="22"/>
          <w:color w:val="auto"/>
        </w:rPr>
      </w:pPr>
      <w:r>
        <w:rPr>
          <w:rFonts w:ascii="Arial" w:cs="Arial" w:eastAsia="Arial" w:hAnsi="Arial"/>
          <w:sz w:val="22"/>
          <w:szCs w:val="22"/>
          <w:color w:val="auto"/>
        </w:rPr>
        <w:t>Data Quality: As with any dataset, it's important to assess the quality and consistency of the data to ensure its reliability for further analysis. Check for missing data, outliers, or anomalies that might affect the accuracy of inferences.</w:t>
      </w:r>
    </w:p>
    <w:p>
      <w:pPr>
        <w:spacing w:after="0" w:line="234" w:lineRule="exact"/>
        <w:rPr>
          <w:rFonts w:ascii="Arial" w:cs="Arial" w:eastAsia="Arial" w:hAnsi="Arial"/>
          <w:sz w:val="22"/>
          <w:szCs w:val="22"/>
          <w:color w:val="auto"/>
        </w:rPr>
      </w:pPr>
    </w:p>
    <w:p>
      <w:pPr>
        <w:ind w:right="360"/>
        <w:spacing w:after="0" w:line="294" w:lineRule="auto"/>
        <w:tabs>
          <w:tab w:leader="none" w:pos="244" w:val="left"/>
        </w:tabs>
        <w:numPr>
          <w:ilvl w:val="0"/>
          <w:numId w:val="2"/>
        </w:numPr>
        <w:rPr>
          <w:rFonts w:ascii="Arial" w:cs="Arial" w:eastAsia="Arial" w:hAnsi="Arial"/>
          <w:sz w:val="22"/>
          <w:szCs w:val="22"/>
          <w:color w:val="auto"/>
        </w:rPr>
      </w:pPr>
      <w:r>
        <w:rPr>
          <w:rFonts w:ascii="Arial" w:cs="Arial" w:eastAsia="Arial" w:hAnsi="Arial"/>
          <w:sz w:val="22"/>
          <w:szCs w:val="22"/>
          <w:color w:val="auto"/>
        </w:rPr>
        <w:t>External Factors: Energy consumption patterns are influenced by external factors, such as economic conditions, population growth, energy policies, and weather events. To better understand these influences, additional data and contextual information are needed.</w:t>
      </w:r>
    </w:p>
    <w:p>
      <w:pPr>
        <w:spacing w:after="0" w:line="234" w:lineRule="exact"/>
        <w:rPr>
          <w:sz w:val="20"/>
          <w:szCs w:val="20"/>
          <w:color w:val="auto"/>
        </w:rPr>
      </w:pPr>
    </w:p>
    <w:p>
      <w:pPr>
        <w:ind w:right="460"/>
        <w:spacing w:after="0" w:line="288" w:lineRule="auto"/>
        <w:rPr>
          <w:sz w:val="20"/>
          <w:szCs w:val="20"/>
          <w:color w:val="auto"/>
        </w:rPr>
      </w:pPr>
      <w:r>
        <w:rPr>
          <w:rFonts w:ascii="Arial" w:cs="Arial" w:eastAsia="Arial" w:hAnsi="Arial"/>
          <w:sz w:val="22"/>
          <w:szCs w:val="22"/>
          <w:color w:val="auto"/>
        </w:rPr>
        <w:t>In summary, this data offers a starting point for analyzing energy consumption for Dominion Virginia Power, but a more comprehensive analysis, including time series analysis and consideration of external factors, would be required to draw more definitive conclusions and make informed decisions related to energy management for this utility provider.</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2023-10-31T19:06:58Z</dcterms:created>
  <dcterms:modified xsi:type="dcterms:W3CDTF">2023-10-31T19:06:58Z</dcterms:modified>
</cp:coreProperties>
</file>