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r>
      <w:r>
        <w:rPr>
          <w:b/>
          <w:bCs/>
        </w:rPr>
        <w:tab/>
        <w:t>DISTRICT COURT</w:t>
      </w:r>
    </w:p>
    <w:p w14:paraId="57BF8DE9" w14:textId="77777777" w:rsidR="009D356D" w:rsidRDefault="00000000">
      <w:pPr>
        <w:tabs>
          <w:tab w:val="right" w:pos="9360"/>
        </w:tabs>
      </w:pPr>
      <w:r>
        <w:rPr>
          <w:b/>
          <w:bCs/>
        </w:rPr>
        <w:t>COUNTY OF HENNEPIN</w:t>
      </w:r>
      <w:r>
        <w:rPr>
          <w:b/>
          <w:bCs/>
        </w:rPr>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blPrEx>
          <w:tblCellMar>
            <w:top w:w="0" w:type="dxa"/>
            <w:bottom w:w="0" w:type="dxa"/>
          </w:tblCellMar>
        </w:tblPrEx>
        <w:tc>
          <w:tcPr>
            <w:tcW w:w="5400" w:type="dxa"/>
            <w:tcBorders>
              <w:right w:val="single" w:sz="6" w:space="0" w:color="000000"/>
            </w:tcBorders>
            <w:tcMar>
              <w:top w:w="80" w:type="dxa"/>
              <w:left w:w="0" w:type="dxa"/>
              <w:bottom w:w="80" w:type="dxa"/>
              <w:right w:w="160" w:type="dxa"/>
            </w:tcMar>
          </w:tcPr>
          <w:p w14:paraId="2FEAF54E" w14:textId="77777777" w:rsidR="009D356D" w:rsidRDefault="00000000">
            <w:proofErr w:type="spellStart"/>
            <w:r>
              <w:t>Yibiao</w:t>
            </w:r>
            <w:proofErr w:type="spellEnd"/>
            <w:r>
              <w:t xml:space="preserve">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r>
      <w:r>
        <w:tab/>
        <w:t xml:space="preserve">This is an action for breach of an insurance contract; for declaratory judgment construing that contract under Minn. Stat. </w:t>
      </w:r>
      <w:proofErr w:type="spellStart"/>
      <w:r>
        <w:t>ch.</w:t>
      </w:r>
      <w:proofErr w:type="spellEnd"/>
      <w:r>
        <w:t xml:space="preserve">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r>
      <w:r>
        <w:tab/>
        <w:t xml:space="preserve">Plaintiffs </w:t>
      </w:r>
      <w:proofErr w:type="spellStart"/>
      <w:r>
        <w:t>Yibiao</w:t>
      </w:r>
      <w:proofErr w:type="spellEnd"/>
      <w:r>
        <w:t xml:space="preserve"> Lu and Jie Hu are Minnesota homeowners whose insured residence was damaged by hail on July 13, 2024. The residence is insured under homeowner's Policy 98055-49-65, issued by Defendant Fire Insurance Exchange </w:t>
      </w:r>
      <w:r>
        <w:lastRenderedPageBreak/>
        <w:t>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r>
      <w:r>
        <w:tab/>
        <w:t xml:space="preserve">Plaintiffs seek monetary damages, declaratory relief, a declaration that the September 12, 2025 appraisal award is non-preclusive as to the scope it did not itemize (or, in the alternative, modification, correction, clarification, or vacatur of that award), prejudgment and </w:t>
      </w:r>
      <w:proofErr w:type="spellStart"/>
      <w:r>
        <w:t>postjudgment</w:t>
      </w:r>
      <w:proofErr w:type="spellEnd"/>
      <w:r>
        <w:t xml:space="preserve">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r>
      <w:r>
        <w:tab/>
        <w:t xml:space="preserve">Plaintiff </w:t>
      </w:r>
      <w:proofErr w:type="spellStart"/>
      <w:r>
        <w:t>Yibiao</w:t>
      </w:r>
      <w:proofErr w:type="spellEnd"/>
      <w:r>
        <w:t xml:space="preserve"> Lu is an individual residing at 17756 George Moran Dr., Eden Prairie, Hennepin County, Minnesota 55347, and is the named insured under Policy 98055-49-65. Plaintiff Jie Hu is the spouse of </w:t>
      </w:r>
      <w:proofErr w:type="spellStart"/>
      <w:r>
        <w:t>Yibiao</w:t>
      </w:r>
      <w:proofErr w:type="spellEnd"/>
      <w:r>
        <w:t xml:space="preserve"> Lu and a resident of the same household, and is an insured under the policy, which defines “you” and “</w:t>
      </w:r>
      <w:proofErr w:type="gramStart"/>
      <w:r>
        <w:t>your</w:t>
      </w:r>
      <w:proofErr w:type="gramEnd"/>
      <w:r>
        <w:t xml:space="preserve">” to mean the named insured shown in the Declarations and the named </w:t>
      </w:r>
      <w:r>
        <w:lastRenderedPageBreak/>
        <w:t>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r>
      <w:r>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r>
      <w:r>
        <w:tab/>
        <w:t>This Court has subject-matter jurisdiction under Minn. Stat. § 484.01.</w:t>
      </w:r>
    </w:p>
    <w:p w14:paraId="7F01B0E3" w14:textId="77777777" w:rsidR="009D356D" w:rsidRDefault="00000000">
      <w:pPr>
        <w:tabs>
          <w:tab w:val="left" w:pos="720"/>
        </w:tabs>
        <w:spacing w:after="120" w:line="480" w:lineRule="auto"/>
        <w:ind w:left="720" w:hanging="720"/>
      </w:pPr>
      <w:r>
        <w:t>7.</w:t>
      </w:r>
      <w:r>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r>
      <w:r>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r>
      <w:r>
        <w:tab/>
        <w:t xml:space="preserve">On October 22, 2014, Plaintiff </w:t>
      </w:r>
      <w:proofErr w:type="spellStart"/>
      <w:r>
        <w:t>Yibiao</w:t>
      </w:r>
      <w:proofErr w:type="spellEnd"/>
      <w:r>
        <w:t xml:space="preserve"> Lu and Defendant </w:t>
      </w:r>
      <w:proofErr w:type="gramStart"/>
      <w:r>
        <w:t>entered into</w:t>
      </w:r>
      <w:proofErr w:type="gramEnd"/>
      <w:r>
        <w:t xml:space="preserve"> Policy 98055-49-65, a Farmers Next Generation Homeowners Policy Minnesota, 2nd Edition, insuring the dwelling and personal property at 17756 George Moran Dr., Eden Prairie, Minnesota. Plaintiffs purchased the policy for personal, family, and </w:t>
      </w:r>
      <w:r>
        <w:lastRenderedPageBreak/>
        <w:t>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r>
      <w:r>
        <w:tab/>
        <w:t xml:space="preserve">The policy in force on July 13, </w:t>
      </w:r>
      <w:proofErr w:type="gramStart"/>
      <w:r>
        <w:t>2024</w:t>
      </w:r>
      <w:proofErr w:type="gramEnd"/>
      <w:r>
        <w:t xml:space="preserve">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r>
      <w:r>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 xml:space="preserve">B. The July 13, </w:t>
      </w:r>
      <w:proofErr w:type="gramStart"/>
      <w:r>
        <w:rPr>
          <w:b/>
          <w:bCs/>
        </w:rPr>
        <w:t>2024</w:t>
      </w:r>
      <w:proofErr w:type="gramEnd"/>
      <w:r>
        <w:rPr>
          <w:b/>
          <w:bCs/>
        </w:rPr>
        <w:t xml:space="preserve"> Hailstorm</w:t>
      </w:r>
    </w:p>
    <w:p w14:paraId="7372F77C" w14:textId="77777777" w:rsidR="009D356D" w:rsidRDefault="00000000">
      <w:pPr>
        <w:tabs>
          <w:tab w:val="left" w:pos="720"/>
        </w:tabs>
        <w:spacing w:after="120" w:line="480" w:lineRule="auto"/>
        <w:ind w:left="720" w:hanging="720"/>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lastRenderedPageBreak/>
        <w:t>C. Discovery of Damage and Claim Opening</w:t>
      </w:r>
    </w:p>
    <w:p w14:paraId="73B6FFB8" w14:textId="77777777" w:rsidR="009D356D" w:rsidRDefault="00000000">
      <w:pPr>
        <w:tabs>
          <w:tab w:val="left" w:pos="720"/>
        </w:tabs>
        <w:spacing w:after="120" w:line="480" w:lineRule="auto"/>
        <w:ind w:left="720" w:hanging="720"/>
      </w:pPr>
      <w:r>
        <w:t>13.</w:t>
      </w:r>
      <w:r>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r>
      <w:r>
        <w:tab/>
        <w:t xml:space="preserve">Plaintiffs cooperated with Defendant's claim-handling process throughout. Plaintiffs called Defendant for a status update on August 19, </w:t>
      </w:r>
      <w:proofErr w:type="gramStart"/>
      <w:r>
        <w:t>2024</w:t>
      </w:r>
      <w:proofErr w:type="gramEnd"/>
      <w:r>
        <w:t xml:space="preserve">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r>
      <w:r>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r>
      <w:r>
        <w:tab/>
      </w:r>
      <w:r>
        <w:rPr>
          <w:b/>
          <w:bCs/>
        </w:rPr>
        <w:t>Second inspection (September 6, 2024).</w:t>
      </w:r>
      <w:r>
        <w:t xml:space="preserve"> Defendant's own </w:t>
      </w:r>
      <w:r w:rsidR="00A36096">
        <w:t xml:space="preserve">Senior </w:t>
      </w:r>
      <w:r>
        <w:t xml:space="preserve">Claim </w:t>
      </w:r>
      <w:r w:rsidR="00A36096">
        <w:t>Adjuster</w:t>
      </w:r>
      <w:r>
        <w:t xml:space="preserve">, Nicholas Brau, personally inspected the property. During the inspection, Mr. Brau identified dents on multiple windows alongside Plaintiffs and measured window </w:t>
      </w:r>
      <w:proofErr w:type="gramStart"/>
      <w:r>
        <w:t>dimensions, and</w:t>
      </w:r>
      <w:proofErr w:type="gramEnd"/>
      <w:r>
        <w:t xml:space="preserve">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w:t>
      </w:r>
      <w:r>
        <w:lastRenderedPageBreak/>
        <w:t>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r>
      <w:r>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w:t>
      </w:r>
      <w:r w:rsidR="00050968">
        <w:t xml:space="preserve"> as documented in the report’s </w:t>
      </w:r>
      <w:r w:rsidR="00050968">
        <w:t>Photo Appendix A</w:t>
      </w:r>
      <w:r w:rsidR="00050968">
        <w:t xml:space="preserve"> and further identified by location and photograph number in paragraph 49(a) below</w:t>
      </w:r>
      <w:r>
        <w:t>.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A-53,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r>
      <w:r>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w:t>
      </w:r>
      <w:proofErr w:type="gramStart"/>
      <w:r>
        <w:t>2024</w:t>
      </w:r>
      <w:proofErr w:type="gramEnd"/>
      <w:r>
        <w:t xml:space="preserve"> letter affirmatively stated that “interior </w:t>
      </w:r>
      <w:r>
        <w:lastRenderedPageBreak/>
        <w:t>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r>
      <w:r>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r>
      <w:r>
        <w:tab/>
      </w:r>
      <w:r>
        <w:rPr>
          <w:b/>
          <w:bCs/>
        </w:rPr>
        <w:t>Defendant adopted Prieve Engineering's representation that “the most recent hail in Eden Prairie reported in 2020.”</w:t>
      </w:r>
      <w:r>
        <w:t xml:space="preserve"> The November 4, </w:t>
      </w:r>
      <w:proofErr w:type="gramStart"/>
      <w:r>
        <w:t>2024</w:t>
      </w:r>
      <w:proofErr w:type="gramEnd"/>
      <w:r>
        <w:t xml:space="preserve"> denial transmitted Prieve's report to Plaintiffs as the basis for the denial. Prieve's report stated, in the Weather Records section, that </w:t>
      </w:r>
      <w:proofErr w:type="spellStart"/>
      <w:r>
        <w:t>stormersite</w:t>
      </w:r>
      <w:proofErr w:type="spellEnd"/>
      <w:r>
        <w:t xml:space="preserve"> and the NOAA Storm Events Database showed “most recent hail in Eden Prairie reported in 2020.” That representation of historical weather fact was and is objectively false. It is independently disproven by:</w:t>
      </w:r>
    </w:p>
    <w:p w14:paraId="5E8A011B" w14:textId="77777777" w:rsidR="009D356D" w:rsidRDefault="00000000">
      <w:pPr>
        <w:tabs>
          <w:tab w:val="left" w:pos="1440"/>
        </w:tabs>
        <w:spacing w:after="120" w:line="480" w:lineRule="auto"/>
        <w:ind w:left="1440" w:hanging="720"/>
      </w:pPr>
      <w:r>
        <w:t>a.</w:t>
      </w:r>
      <w:r>
        <w:tab/>
        <w:t xml:space="preserve">National Weather Service Twin Cities/Chanhassen documentation of severe thunderstorms across Minnesota on July 13–14, 2024 with hail up to 3.5–4 </w:t>
      </w:r>
      <w:r>
        <w:lastRenderedPageBreak/>
        <w:t xml:space="preserve">inches and a 48 MPH wind gust at Eden Prairie ASOS at 1:00 AM on July 14, </w:t>
      </w:r>
      <w:proofErr w:type="gramStart"/>
      <w:r>
        <w:t>2024;</w:t>
      </w:r>
      <w:proofErr w:type="gramEnd"/>
    </w:p>
    <w:p w14:paraId="6F5963FD" w14:textId="77777777" w:rsidR="009D356D" w:rsidRDefault="00000000">
      <w:pPr>
        <w:tabs>
          <w:tab w:val="left" w:pos="1440"/>
        </w:tabs>
        <w:spacing w:after="120" w:line="480" w:lineRule="auto"/>
        <w:ind w:left="1440" w:hanging="720"/>
      </w:pPr>
      <w:r>
        <w:t>b.</w:t>
      </w:r>
      <w:r>
        <w:tab/>
      </w:r>
      <w:proofErr w:type="spellStart"/>
      <w:r>
        <w:t>Stormersite</w:t>
      </w:r>
      <w:proofErr w:type="spellEnd"/>
      <w:r>
        <w:t xml:space="preserve"> data showing hail reports near Eden Prairie in 2022, 2023, and </w:t>
      </w:r>
      <w:proofErr w:type="gramStart"/>
      <w:r>
        <w:t>2024;</w:t>
      </w:r>
      <w:proofErr w:type="gramEnd"/>
    </w:p>
    <w:p w14:paraId="535DD26D" w14:textId="77777777" w:rsidR="009D356D" w:rsidRDefault="00000000">
      <w:pPr>
        <w:tabs>
          <w:tab w:val="left" w:pos="1440"/>
        </w:tabs>
        <w:spacing w:after="120" w:line="480" w:lineRule="auto"/>
        <w:ind w:left="1440" w:hanging="720"/>
      </w:pPr>
      <w:r>
        <w:t>c.</w:t>
      </w:r>
      <w:r>
        <w:tab/>
        <w:t>City of Eden Prairie public permit records documenting hail-driven exterior repairs on the same street as Plaintiffs' home, including permit EP187829 at 17490 George Moran Drive (window replacement, issued November 15, 2023, cause: hail) and permit EP190835 at 17708 George Moran Drive (window replacement, issued May 9, 2024, cause: hail</w:t>
      </w:r>
      <w:proofErr w:type="gramStart"/>
      <w:r>
        <w:t>);</w:t>
      </w:r>
      <w:proofErr w:type="gramEnd"/>
    </w:p>
    <w:p w14:paraId="515E80A1" w14:textId="77777777" w:rsidR="009D356D" w:rsidRDefault="00000000">
      <w:pPr>
        <w:tabs>
          <w:tab w:val="left" w:pos="1440"/>
        </w:tabs>
        <w:spacing w:after="120" w:line="480" w:lineRule="auto"/>
        <w:ind w:left="1440" w:hanging="720"/>
      </w:pPr>
      <w:r>
        <w:t>d.</w:t>
      </w:r>
      <w:r>
        <w:tab/>
        <w:t>Plaintiffs' contemporaneous canvass of nineteen neighboring homeowners, of whom fourteen confirmed hail-driven exterior repairs in the immediate neighborhood after 2020; and</w:t>
      </w:r>
    </w:p>
    <w:p w14:paraId="317982F2" w14:textId="77777777" w:rsidR="009D356D" w:rsidRDefault="00000000">
      <w:pPr>
        <w:tabs>
          <w:tab w:val="left" w:pos="1440"/>
        </w:tabs>
        <w:spacing w:after="120" w:line="480" w:lineRule="auto"/>
        <w:ind w:left="1440" w:hanging="720"/>
      </w:pPr>
      <w:r>
        <w:t>e.</w:t>
      </w:r>
      <w:r>
        <w:tab/>
        <w:t xml:space="preserve">Defendant's own September 12, </w:t>
      </w:r>
      <w:proofErr w:type="gramStart"/>
      <w:r>
        <w:t>2025</w:t>
      </w:r>
      <w:proofErr w:type="gramEnd"/>
      <w:r>
        <w:t xml:space="preserve"> appraisal award, signed by the umpire Wade </w:t>
      </w:r>
      <w:proofErr w:type="spellStart"/>
      <w:r>
        <w:t>Roos</w:t>
      </w:r>
      <w:proofErr w:type="spellEnd"/>
      <w:r>
        <w:t xml:space="preserve">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r>
      <w:r>
        <w:tab/>
      </w:r>
      <w:r>
        <w:rPr>
          <w:b/>
          <w:bCs/>
        </w:rPr>
        <w:t>The two denials rest on incompatible factual theories.</w:t>
      </w:r>
      <w:r>
        <w:t xml:space="preserve"> The September 3, </w:t>
      </w:r>
      <w:proofErr w:type="gramStart"/>
      <w:r>
        <w:t>2024</w:t>
      </w:r>
      <w:proofErr w:type="gramEnd"/>
      <w:r>
        <w:t xml:space="preserve"> letter says no exterior damage exists; the November 4, </w:t>
      </w:r>
      <w:proofErr w:type="gramStart"/>
      <w:r>
        <w:t>2024</w:t>
      </w:r>
      <w:proofErr w:type="gramEnd"/>
      <w:r>
        <w:t xml:space="preserve"> letter acknowledges damage exists but blames aging and prior storms. Both cannot be correct.</w:t>
      </w:r>
    </w:p>
    <w:p w14:paraId="4FD32E41" w14:textId="77777777" w:rsidR="009D356D" w:rsidRDefault="00000000">
      <w:pPr>
        <w:tabs>
          <w:tab w:val="left" w:pos="720"/>
        </w:tabs>
        <w:spacing w:after="120" w:line="480" w:lineRule="auto"/>
        <w:ind w:left="720" w:hanging="720"/>
      </w:pPr>
      <w:r>
        <w:t>22.</w:t>
      </w:r>
      <w:r>
        <w:tab/>
      </w:r>
      <w:r>
        <w:rPr>
          <w:b/>
          <w:bCs/>
        </w:rPr>
        <w:t xml:space="preserve">The Prieve report on which the November 4, </w:t>
      </w:r>
      <w:proofErr w:type="gramStart"/>
      <w:r>
        <w:rPr>
          <w:b/>
          <w:bCs/>
        </w:rPr>
        <w:t>2024</w:t>
      </w:r>
      <w:proofErr w:type="gramEnd"/>
      <w:r>
        <w:rPr>
          <w:b/>
          <w:bCs/>
        </w:rPr>
        <w:t xml:space="preserve"> denial principally rests </w:t>
      </w:r>
      <w:proofErr w:type="gramStart"/>
      <w:r>
        <w:rPr>
          <w:b/>
          <w:bCs/>
        </w:rPr>
        <w:t>is</w:t>
      </w:r>
      <w:proofErr w:type="gramEnd"/>
      <w:r>
        <w:rPr>
          <w:b/>
          <w:bCs/>
        </w:rPr>
        <w:t xml:space="preserve"> independently deficient on its face.</w:t>
      </w:r>
      <w:r>
        <w:t xml:space="preserve"> The deficiencies include: (a) Defendant </w:t>
      </w:r>
      <w:r>
        <w:lastRenderedPageBreak/>
        <w:t xml:space="preserve">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 (b) Prieve's own Photo Appendix A documents non-window damage in its captions (dented downspouts at A-42, A-91 through A-93, A-98 and A-99; dented flashing at A-103; chipped trim board at A-90 and A-148) that the report's narrative and Conclusions do not address; (c) Plaintiffs' gutters and downspouts were replaced after September 13, 2021, such that any dent on those components physically cannot pre-date late 2021 and is direct physical evidence of post-2020 hail activity at the property; (d) 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 (e) the report's narrative uses the word “dent” or “dents” sixteen separate times on a single page (the east-side discussion) before concluding “no recent hail damage has occurred”; (f) the report contains no quantitative impact-force calculation, no terminal-velocity calculation, no material-specific dent-depth threshold for extruded aluminum or aluminum-clad wood windows, no peer-reviewed citation, and no stated error rate; (g) Conclusion 4's directional dismissal of damage on the east elevation (“storms moving from west to east with hail originating from a westerly direction”) is a generalization not derived from the specific July 13–14, 2024 </w:t>
      </w:r>
      <w:r>
        <w:lastRenderedPageBreak/>
        <w:t xml:space="preserve">storm event, which the National Weather Service documents as a multi-round overnight system with severe weather across Minnesota; the generalization is further refuted by Defendant's own September 12, 2025 appraisal award, which awarded a rear/east window (B1.2, family room) as a hail loss alongside a front/west window (F1.7), thereby confirming that hail damaged the east elevation of the dwelling, and by the fact that wind direction is not fixed within a single storm — surface winds veer and back as a storm cell approaches, passes, and departs, and gust fronts, outflow boundaries, and a rotating updraft can drive hail against multiple faces of a structure during the same event; (h) the report's Activities section does not list as inputs the Hancock August 29, 2024 inspection </w:t>
      </w:r>
      <w:proofErr w:type="spellStart"/>
      <w:r>
        <w:t>workproduct</w:t>
      </w:r>
      <w:proofErr w:type="spellEnd"/>
      <w:r>
        <w:t>, the September 3, 2024 first denial letter, any record of adjuster Nicholas Brau's September 6, 2024 observations, or Plaintiffs' photographic submissions of September 5, 8, and 10, 2024; and (</w:t>
      </w:r>
      <w:proofErr w:type="spellStart"/>
      <w:r>
        <w:t>i</w:t>
      </w:r>
      <w:proofErr w:type="spellEnd"/>
      <w:r>
        <w:t xml:space="preserve">) 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w:t>
      </w:r>
      <w:r>
        <w:lastRenderedPageBreak/>
        <w:t>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r>
      <w:r>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w:t>
      </w:r>
      <w:proofErr w:type="gramStart"/>
      <w:r>
        <w:t>2020</w:t>
      </w:r>
      <w:proofErr w:type="gramEnd"/>
      <w:r>
        <w:t xml:space="preserve">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r>
      <w:r>
        <w:tab/>
      </w:r>
      <w:r>
        <w:rPr>
          <w:b/>
          <w:bCs/>
        </w:rPr>
        <w:t>The 2020 scope was two sashes, not the home's windows generally.</w:t>
      </w:r>
      <w:r>
        <w:t xml:space="preserve"> The 2020 Building Loss Worksheet and Xactimate approved two casement windows at line items 1–4, with no other window-related line items. Plaintiffs maintain that the dents within that scope were on two sashes, not two whole window units.</w:t>
      </w:r>
    </w:p>
    <w:p w14:paraId="5FAFF302" w14:textId="77777777" w:rsidR="009D356D" w:rsidRDefault="00000000">
      <w:pPr>
        <w:tabs>
          <w:tab w:val="left" w:pos="1440"/>
        </w:tabs>
        <w:spacing w:after="120" w:line="480" w:lineRule="auto"/>
        <w:ind w:left="1440" w:hanging="720"/>
      </w:pPr>
      <w:r>
        <w:t>b.</w:t>
      </w:r>
      <w:r>
        <w:tab/>
      </w:r>
      <w:r>
        <w:rPr>
          <w:b/>
          <w:bCs/>
        </w:rPr>
        <w:t>Defendant's 2020 inspection documented hail dents warranting repair on only those two sashes and identified no other dented sash or window anywhere on the home.</w:t>
      </w:r>
      <w:r>
        <w:t xml:space="preserve"> Defendant's own record therefore reflects that, as </w:t>
      </w:r>
      <w:r>
        <w:lastRenderedPageBreak/>
        <w:t xml:space="preserve">of October 13, 2020, no window or sash on the property other than the two paid sashes was identified as </w:t>
      </w:r>
      <w:proofErr w:type="gramStart"/>
      <w:r>
        <w:t>hail-damaged</w:t>
      </w:r>
      <w:proofErr w:type="gramEnd"/>
      <w:r>
        <w:t>.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r>
      <w:r>
        <w:tab/>
      </w:r>
      <w:r>
        <w:rPr>
          <w:b/>
          <w:bCs/>
        </w:rPr>
        <w:t xml:space="preserve">The only documented hail event at the property after the 2020 inspection is the July 13, </w:t>
      </w:r>
      <w:proofErr w:type="gramStart"/>
      <w:r>
        <w:rPr>
          <w:b/>
          <w:bCs/>
        </w:rPr>
        <w:t>2024</w:t>
      </w:r>
      <w:proofErr w:type="gramEnd"/>
      <w:r>
        <w:rPr>
          <w:b/>
          <w:bCs/>
        </w:rPr>
        <w:t xml:space="preserve"> hailstorm.</w:t>
      </w:r>
      <w:r>
        <w:t xml:space="preserve"> The post-2020 dents the Prieve report catalogs across at least nineteen windows therefore align with the July 13, </w:t>
      </w:r>
      <w:proofErr w:type="gramStart"/>
      <w:r>
        <w:t>2024</w:t>
      </w:r>
      <w:proofErr w:type="gramEnd"/>
      <w:r>
        <w:t xml:space="preserve"> loss and cannot be attributed to the 2020 claim, which by Defendant's own scope reached only two sashes.</w:t>
      </w:r>
    </w:p>
    <w:p w14:paraId="3BB1D074" w14:textId="77777777" w:rsidR="009D356D" w:rsidRDefault="00000000">
      <w:pPr>
        <w:tabs>
          <w:tab w:val="left" w:pos="1440"/>
        </w:tabs>
        <w:spacing w:after="120" w:line="480" w:lineRule="auto"/>
        <w:ind w:left="1440" w:hanging="720"/>
      </w:pPr>
      <w:r>
        <w:t>d.</w:t>
      </w:r>
      <w:r>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only two sashes.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r>
      <w:r>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t>
      </w:r>
      <w:r>
        <w:lastRenderedPageBreak/>
        <w:t>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r>
      <w:r>
        <w:tab/>
        <w:t xml:space="preserve">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w:t>
      </w:r>
      <w:proofErr w:type="spellStart"/>
      <w:r>
        <w:t>engineers</w:t>
      </w:r>
      <w:proofErr w:type="spellEnd"/>
      <w:r>
        <w:t xml:space="preserve"> report so I believe that's what he wanted to look for from you.”</w:t>
      </w:r>
    </w:p>
    <w:p w14:paraId="64FA61F2" w14:textId="77777777" w:rsidR="009D356D" w:rsidRDefault="00000000">
      <w:pPr>
        <w:tabs>
          <w:tab w:val="left" w:pos="720"/>
        </w:tabs>
        <w:spacing w:after="120" w:line="480" w:lineRule="auto"/>
        <w:ind w:left="720" w:hanging="720"/>
      </w:pPr>
      <w:r>
        <w:t>26.</w:t>
      </w:r>
      <w:r>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w:t>
      </w:r>
      <w:proofErr w:type="spellStart"/>
      <w:r>
        <w:t>stormersite</w:t>
      </w:r>
      <w:proofErr w:type="spellEnd"/>
      <w:r>
        <w:t xml:space="preserve"> weather data and post-2021 gutter-replacement evidence, (b) Plaintiffs' February 10, 2025 second response containing City of Eden Prairie permit records and the 14-of-19 </w:t>
      </w:r>
      <w:r>
        <w:lastRenderedPageBreak/>
        <w:t>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r>
      <w:r>
        <w:tab/>
        <w:t xml:space="preserve">Beginning on September 5, </w:t>
      </w:r>
      <w:proofErr w:type="gramStart"/>
      <w:r>
        <w:t>2024</w:t>
      </w:r>
      <w:proofErr w:type="gramEnd"/>
      <w:r>
        <w:t xml:space="preserve"> and continuing through May 28, 2025, Plaintiffs submitted four separate rounds of evidence disproving the factual premises of Defendant's denials. Defendant did not retract the denials, did not reopen the claim, and did not engage substantively with any of the submissions.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r>
      <w:r>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w:t>
      </w:r>
      <w:r>
        <w:lastRenderedPageBreak/>
        <w:t>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r>
      <w:r>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r>
      <w:r>
        <w:tab/>
        <w:t>On August 3, 2025, Pure Construction, on behalf of Plaintiffs, filed a formal Demand for Appraisal under Minn. Stat. § 65A.01, naming claim 7007986837-1-1, loss date July 13, 2024, and three items in dispute: Windows, Siding (repaint), and Siding (replace and remove).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lastRenderedPageBreak/>
        <w:t>31.</w:t>
      </w:r>
      <w:r>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w:t>
      </w:r>
      <w:proofErr w:type="gramStart"/>
      <w:r>
        <w:t>2025</w:t>
      </w:r>
      <w:proofErr w:type="gramEnd"/>
      <w:r>
        <w:t xml:space="preserve"> inspection. Defendant's appraiser was Greg Tomes. The umpire was Wade </w:t>
      </w:r>
      <w:proofErr w:type="spellStart"/>
      <w:r>
        <w:t>Roos</w:t>
      </w:r>
      <w:proofErr w:type="spellEnd"/>
      <w:r>
        <w:t xml:space="preserve">. The September 12, </w:t>
      </w:r>
      <w:proofErr w:type="gramStart"/>
      <w:r>
        <w:t>2025</w:t>
      </w:r>
      <w:proofErr w:type="gramEnd"/>
      <w:r>
        <w:t xml:space="preserve"> Appraisal Award, signed by Wade </w:t>
      </w:r>
      <w:proofErr w:type="spellStart"/>
      <w:r>
        <w:t>Roos</w:t>
      </w:r>
      <w:proofErr w:type="spellEnd"/>
      <w:r>
        <w:t xml:space="preserve"> and John Foster, awarded “Windows (F1.7 / B1.2)” at a Replacement Cost Value of $12,800 and Actual Cash Value of $6,400. Both siding items received $0. Greg Tomes did not sign.</w:t>
      </w:r>
    </w:p>
    <w:p w14:paraId="457803E4" w14:textId="77777777" w:rsidR="009D356D" w:rsidRDefault="00000000">
      <w:pPr>
        <w:tabs>
          <w:tab w:val="left" w:pos="720"/>
        </w:tabs>
        <w:spacing w:after="120" w:line="480" w:lineRule="auto"/>
        <w:ind w:left="720" w:hanging="720"/>
      </w:pPr>
      <w:r>
        <w:t>32.</w:t>
      </w:r>
      <w:r>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r>
      <w:r>
        <w:tab/>
      </w:r>
      <w:r>
        <w:rPr>
          <w:b/>
          <w:bCs/>
        </w:rPr>
        <w:t>The award does not state actual value and loss separately to each item.</w:t>
      </w:r>
      <w:r>
        <w:t xml:space="preserve"> The award identifies the awarded windows only by the undefined codes “F1.7” and “B1.2” against a single </w:t>
      </w:r>
      <w:proofErr w:type="gramStart"/>
      <w:r>
        <w:t>lump-sum</w:t>
      </w:r>
      <w:proofErr w:type="gramEnd"/>
      <w:r>
        <w:t xml:space="preserve">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r>
      <w:r>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r>
      <w:r>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lastRenderedPageBreak/>
        <w:t>J. Post-Appraisal Refusal to Engage</w:t>
      </w:r>
    </w:p>
    <w:p w14:paraId="1854F7AD" w14:textId="77777777" w:rsidR="009D356D" w:rsidRDefault="00000000">
      <w:pPr>
        <w:tabs>
          <w:tab w:val="left" w:pos="720"/>
        </w:tabs>
        <w:spacing w:after="120" w:line="480" w:lineRule="auto"/>
        <w:ind w:left="720" w:hanging="720"/>
      </w:pPr>
      <w:r>
        <w:t>36.</w:t>
      </w:r>
      <w:r>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r>
      <w:r>
        <w:tab/>
      </w:r>
      <w:r>
        <w:rPr>
          <w:b/>
          <w:bCs/>
        </w:rPr>
        <w:t>The appraiser's position, as transmitted by Defendant, documented damage to the front dining-room window but excluded it from the award on a prior-claim theory that is incorrect.</w:t>
      </w:r>
      <w:r>
        <w:t xml:space="preserve"> In Defendant's September 19, </w:t>
      </w:r>
      <w:proofErr w:type="gramStart"/>
      <w:r>
        <w:t>2025</w:t>
      </w:r>
      <w:proofErr w:type="gramEnd"/>
      <w:r>
        <w:t xml:space="preserve"> correspondence correcting the September 18, </w:t>
      </w:r>
      <w:proofErr w:type="gramStart"/>
      <w:r>
        <w:t>2025</w:t>
      </w:r>
      <w:proofErr w:type="gramEnd"/>
      <w:r>
        <w:t xml:space="preserve"> description of the award, Defendant's transmittal of the appraiser's position stated that the damage to the front dining-room window “was from the prior claim,” and on that basis the dining-room window was not included in the September 12, </w:t>
      </w:r>
      <w:proofErr w:type="gramStart"/>
      <w:r>
        <w:t>2025</w:t>
      </w:r>
      <w:proofErr w:type="gramEnd"/>
      <w:r>
        <w:t xml:space="preserve"> award. The front dining-room window is a three-sash window. On information and belief, only one of its three sashes was within the scope of Defendant's 2020 claim payment (claim 3013539499-1); the remaining two sashes sustained new dents from the July 13, </w:t>
      </w:r>
      <w:proofErr w:type="gramStart"/>
      <w:r>
        <w:t>2024</w:t>
      </w:r>
      <w:proofErr w:type="gramEnd"/>
      <w:r>
        <w:t xml:space="preserve">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w:t>
      </w:r>
      <w:r>
        <w:lastRenderedPageBreak/>
        <w:t>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r>
      <w:r>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lastRenderedPageBreak/>
        <w:t>39.</w:t>
      </w:r>
      <w:r>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w:t>
      </w:r>
      <w:proofErr w:type="gramStart"/>
      <w:r>
        <w:t>award</w:t>
      </w:r>
      <w:proofErr w:type="gramEnd"/>
      <w:r>
        <w:t xml:space="preserve">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r>
      <w:r>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r>
      <w:r>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t>
      </w:r>
      <w:r>
        <w:lastRenderedPageBreak/>
        <w:t>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r>
      <w:r>
        <w:tab/>
        <w:t xml:space="preserve">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w:t>
      </w:r>
      <w:proofErr w:type="gramStart"/>
      <w:r>
        <w:t>2025</w:t>
      </w:r>
      <w:proofErr w:type="gramEnd"/>
      <w:r>
        <w:t xml:space="preserve">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r>
      <w:r>
        <w:tab/>
        <w:t xml:space="preserve">Semco Windows and Doors ceased operations on December 31, 2019. Sierra Pacific Windows acquired Semco's operating assets in February 2020 and did not </w:t>
      </w:r>
      <w:r>
        <w:lastRenderedPageBreak/>
        <w:t>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r>
      <w:r>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r>
      <w:r>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r>
      <w:r>
        <w:tab/>
        <w:t>Plaintiffs performed all conditions precedent.</w:t>
      </w:r>
    </w:p>
    <w:p w14:paraId="57AE4805" w14:textId="77777777" w:rsidR="009D356D" w:rsidRDefault="00000000">
      <w:pPr>
        <w:tabs>
          <w:tab w:val="left" w:pos="720"/>
        </w:tabs>
        <w:spacing w:after="120" w:line="480" w:lineRule="auto"/>
        <w:ind w:left="720" w:hanging="720"/>
      </w:pPr>
      <w:r>
        <w:t>48.</w:t>
      </w:r>
      <w:r>
        <w:tab/>
        <w:t xml:space="preserve">Hail caused direct physical damage to insured windows on July 13, 2024. The September 12, </w:t>
      </w:r>
      <w:proofErr w:type="gramStart"/>
      <w:r>
        <w:t>2025</w:t>
      </w:r>
      <w:proofErr w:type="gramEnd"/>
      <w:r>
        <w:t xml:space="preserve"> appraisal award is binding under Minn. Stat. § 65A.01, Subd. 3 as to the matters it determined, including the panel's finding that hail caused the loss to the windows it awarded. Under </w:t>
      </w:r>
      <w:r>
        <w:rPr>
          <w:i/>
          <w:iCs/>
        </w:rPr>
        <w:t>Quade v. Secura Insurance</w:t>
      </w:r>
      <w:r>
        <w:t xml:space="preserve">, 814 N.W.2d </w:t>
      </w:r>
      <w:r>
        <w:lastRenderedPageBreak/>
        <w:t>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r>
      <w:r>
        <w:tab/>
      </w:r>
      <w:r>
        <w:rPr>
          <w:b/>
          <w:bCs/>
        </w:rPr>
        <w:t xml:space="preserve">The September 12, </w:t>
      </w:r>
      <w:proofErr w:type="gramStart"/>
      <w:r>
        <w:rPr>
          <w:b/>
          <w:bCs/>
        </w:rPr>
        <w:t>2025</w:t>
      </w:r>
      <w:proofErr w:type="gramEnd"/>
      <w:r>
        <w:rPr>
          <w:b/>
          <w:bCs/>
        </w:rPr>
        <w:t xml:space="preserve">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r>
      <w:r>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w:t>
      </w:r>
      <w:r>
        <w:lastRenderedPageBreak/>
        <w:t xml:space="preserve">(photographs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w:t>
      </w:r>
      <w:proofErr w:type="gramStart"/>
      <w:r>
        <w:t>actually evaluated</w:t>
      </w:r>
      <w:proofErr w:type="gramEnd"/>
      <w:r>
        <w:t xml:space="preserve">.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w:t>
      </w:r>
      <w:proofErr w:type="gramStart"/>
      <w:r>
        <w:t>actually evaluated</w:t>
      </w:r>
      <w:proofErr w:type="gramEnd"/>
      <w:r>
        <w:t xml:space="preserve">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w:t>
      </w:r>
      <w:r>
        <w:lastRenderedPageBreak/>
        <w:t>on a different window or sash is, on Defendant's own baseline, new post-2020 damage for which no prior payment was made. In addition: (</w:t>
      </w:r>
      <w:proofErr w:type="spellStart"/>
      <w:r>
        <w:t>i</w:t>
      </w:r>
      <w:proofErr w:type="spellEnd"/>
      <w:r>
        <w:t>)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r>
      <w:r>
        <w:tab/>
      </w:r>
      <w:r>
        <w:rPr>
          <w:b/>
          <w:bCs/>
        </w:rPr>
        <w:t>Claim components outside the appraisal panel's jurisdiction.</w:t>
      </w:r>
      <w:r>
        <w:t xml:space="preserve"> Plaintiffs' August 3, </w:t>
      </w:r>
      <w:proofErr w:type="gramStart"/>
      <w:r>
        <w:t>2025</w:t>
      </w:r>
      <w:proofErr w:type="gramEnd"/>
      <w:r>
        <w:t xml:space="preserve"> Demand for Appraisal listed three items: Windows, Siding (repaint), and Siding (R&amp;R). The Demand did not include downspouts, flashing other than wall-base flashing tied to siding, or exterior doors. The </w:t>
      </w:r>
      <w:r>
        <w:lastRenderedPageBreak/>
        <w:t xml:space="preserve">appraisal panel therefore had no jurisdiction over those components, and the September 12, </w:t>
      </w:r>
      <w:proofErr w:type="gramStart"/>
      <w:r>
        <w:t>2025</w:t>
      </w:r>
      <w:proofErr w:type="gramEnd"/>
      <w:r>
        <w:t xml:space="preserve"> award could not and did not address them. The Prieve report's Photo Appendix A nevertheless documents (</w:t>
      </w:r>
      <w:proofErr w:type="spellStart"/>
      <w:r>
        <w:t>i</w:t>
      </w:r>
      <w:proofErr w:type="spellEnd"/>
      <w:r>
        <w:t>)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r>
      <w:r>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w:t>
      </w:r>
      <w:r>
        <w:lastRenderedPageBreak/>
        <w:t>2012). Any such coverage-based determination is not final or binding, and the coverage question for each such window or item is decided by the Court de novo under this Count.</w:t>
      </w:r>
    </w:p>
    <w:p w14:paraId="21AD4A63" w14:textId="77777777" w:rsidR="009D356D" w:rsidRDefault="00000000">
      <w:pPr>
        <w:tabs>
          <w:tab w:val="left" w:pos="720"/>
        </w:tabs>
        <w:spacing w:after="120" w:line="480" w:lineRule="auto"/>
        <w:ind w:left="720" w:hanging="720"/>
      </w:pPr>
      <w:r>
        <w:t>51.</w:t>
      </w:r>
      <w:r>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100B7D47" w14:textId="77777777" w:rsidR="009D356D" w:rsidRDefault="00000000">
      <w:pPr>
        <w:tabs>
          <w:tab w:val="left" w:pos="720"/>
        </w:tabs>
        <w:spacing w:after="120" w:line="480" w:lineRule="auto"/>
        <w:ind w:left="720" w:hanging="720"/>
      </w:pPr>
      <w:r>
        <w:lastRenderedPageBreak/>
        <w:t>52.</w:t>
      </w:r>
      <w:r>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w:t>
      </w:r>
      <w:r>
        <w:lastRenderedPageBreak/>
        <w:t>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53.</w:t>
      </w:r>
      <w:r>
        <w:tab/>
        <w:t xml:space="preserve">As a direct and proximate result of Defendant's breach, Plaintiffs have suffered damages </w:t>
      </w:r>
      <w:proofErr w:type="gramStart"/>
      <w:r>
        <w:t>in excess of</w:t>
      </w:r>
      <w:proofErr w:type="gramEnd"/>
      <w:r>
        <w:t xml:space="preserve">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54.</w:t>
      </w:r>
      <w:r>
        <w:tab/>
        <w:t>Plaintiffs reallege and incorporate paragraphs 1 through 53 above.</w:t>
      </w:r>
    </w:p>
    <w:p w14:paraId="3A09B6C6" w14:textId="77777777" w:rsidR="009D356D" w:rsidRDefault="00000000">
      <w:pPr>
        <w:tabs>
          <w:tab w:val="left" w:pos="720"/>
        </w:tabs>
        <w:spacing w:after="120" w:line="480" w:lineRule="auto"/>
        <w:ind w:left="720" w:hanging="720"/>
      </w:pPr>
      <w:r>
        <w:t>55.</w:t>
      </w:r>
      <w:r>
        <w:tab/>
        <w:t xml:space="preserve">A justiciable controversy exists between Plaintiffs and Defendant under Policy 98055-49-65 with respect to the July 13, </w:t>
      </w:r>
      <w:proofErr w:type="gramStart"/>
      <w:r>
        <w:t>2024</w:t>
      </w:r>
      <w:proofErr w:type="gramEnd"/>
      <w:r>
        <w:t xml:space="preserve">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56.</w:t>
      </w:r>
      <w:r>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r>
      <w:r>
        <w:tab/>
        <w:t xml:space="preserve">The July 13, </w:t>
      </w:r>
      <w:proofErr w:type="gramStart"/>
      <w:r>
        <w:t>2024</w:t>
      </w:r>
      <w:proofErr w:type="gramEnd"/>
      <w:r>
        <w:t xml:space="preserve">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lastRenderedPageBreak/>
        <w:t>(b)</w:t>
      </w:r>
      <w:r>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r>
      <w:r>
        <w:tab/>
        <w:t xml:space="preserve">The September 12, </w:t>
      </w:r>
      <w:proofErr w:type="gramStart"/>
      <w:r>
        <w:t>2025</w:t>
      </w:r>
      <w:proofErr w:type="gramEnd"/>
      <w:r>
        <w:t xml:space="preserve">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r>
      <w:r>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 xml:space="preserve">Atwater Creamery Co. v. Western </w:t>
      </w:r>
      <w:proofErr w:type="spellStart"/>
      <w:r>
        <w:rPr>
          <w:i/>
          <w:iCs/>
        </w:rPr>
        <w:t>Nat'l</w:t>
      </w:r>
      <w:proofErr w:type="spellEnd"/>
      <w:r>
        <w:rPr>
          <w:i/>
          <w:iCs/>
        </w:rPr>
        <w:t xml:space="preserve"> Mut. Ins. Co.</w:t>
      </w:r>
      <w:r>
        <w:t>, 366 N.W.2d 271 (Minn. 1985).</w:t>
      </w:r>
    </w:p>
    <w:p w14:paraId="1489A18E" w14:textId="77777777" w:rsidR="009D356D" w:rsidRDefault="00000000">
      <w:pPr>
        <w:tabs>
          <w:tab w:val="left" w:pos="1440"/>
        </w:tabs>
        <w:spacing w:after="120" w:line="480" w:lineRule="auto"/>
        <w:ind w:left="1440" w:hanging="720"/>
      </w:pPr>
      <w:r>
        <w:t>(e)</w:t>
      </w:r>
      <w:r>
        <w:tab/>
        <w:t xml:space="preserve">Endorsement J6944 (“Limited Matching of Undamaged Property”) does not bar coverage for the cost to repair or replace windows that themselves </w:t>
      </w:r>
      <w:r>
        <w:lastRenderedPageBreak/>
        <w:t xml:space="preserve">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r>
      <w:r>
        <w:tab/>
        <w:t xml:space="preserve">With respect to the windows the September 12, </w:t>
      </w:r>
      <w:proofErr w:type="gramStart"/>
      <w:r>
        <w:t>2025</w:t>
      </w:r>
      <w:proofErr w:type="gramEnd"/>
      <w:r>
        <w:t xml:space="preserve"> appraisal award evaluated, Defendant is bound by the panel's hail-causation finding and may not reassert in this action the exclusions cited in its November 4, </w:t>
      </w:r>
      <w:proofErr w:type="gramStart"/>
      <w:r>
        <w:t>2024</w:t>
      </w:r>
      <w:proofErr w:type="gramEnd"/>
      <w:r>
        <w:t xml:space="preserve"> denial as to those windows.</w:t>
      </w:r>
    </w:p>
    <w:p w14:paraId="5EE0351A" w14:textId="77777777" w:rsidR="009D356D" w:rsidRDefault="00000000">
      <w:pPr>
        <w:tabs>
          <w:tab w:val="left" w:pos="1440"/>
        </w:tabs>
        <w:spacing w:after="120" w:line="480" w:lineRule="auto"/>
        <w:ind w:left="1440" w:hanging="720"/>
      </w:pPr>
      <w:r>
        <w:t>(g)</w:t>
      </w:r>
      <w:r>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w:t>
      </w:r>
      <w:r>
        <w:lastRenderedPageBreak/>
        <w:t>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r>
      <w:r>
        <w:tab/>
        <w:t xml:space="preserve">A prior insurance-claim payment that covered one sash of the front dining-room window does not bar coverage for hail damage sustained on July 13, </w:t>
      </w:r>
      <w:proofErr w:type="gramStart"/>
      <w:r>
        <w:t>2024</w:t>
      </w:r>
      <w:proofErr w:type="gramEnd"/>
      <w:r>
        <w:t xml:space="preserve"> by other, previously unpaid sashes of the same window. Any exclusion of that window from the September 12, </w:t>
      </w:r>
      <w:proofErr w:type="gramStart"/>
      <w:r>
        <w:t>2025</w:t>
      </w:r>
      <w:proofErr w:type="gramEnd"/>
      <w:r>
        <w:t xml:space="preserve">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w:t>
      </w:r>
      <w:proofErr w:type="spellStart"/>
      <w:r>
        <w:t>i</w:t>
      </w:r>
      <w:proofErr w:type="spellEnd"/>
      <w:r>
        <w:t>)</w:t>
      </w:r>
      <w:r>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28E7630A" w14:textId="77777777" w:rsidR="009D356D" w:rsidRDefault="00000000">
      <w:pPr>
        <w:tabs>
          <w:tab w:val="left" w:pos="720"/>
        </w:tabs>
        <w:spacing w:after="120" w:line="480" w:lineRule="auto"/>
        <w:ind w:left="720" w:hanging="720"/>
      </w:pPr>
      <w:r>
        <w:t>57.</w:t>
      </w:r>
      <w:r>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lastRenderedPageBreak/>
        <w:t>58.</w:t>
      </w:r>
      <w:r>
        <w:tab/>
        <w:t xml:space="preserve">Plaintiffs reallege and incorporate paragraphs 1 through 57 above. This Count is pleaded in the alternative under Minn. R. Civ. P. 8.05, and the Court need reach it only to the extent it treats the September 12, </w:t>
      </w:r>
      <w:proofErr w:type="gramStart"/>
      <w:r>
        <w:t>2025</w:t>
      </w:r>
      <w:proofErr w:type="gramEnd"/>
      <w:r>
        <w:t xml:space="preserve"> appraisal award as a barrier to relief under Count I.</w:t>
      </w:r>
    </w:p>
    <w:p w14:paraId="6A5E2CEB" w14:textId="77777777" w:rsidR="009D356D" w:rsidRDefault="00000000">
      <w:pPr>
        <w:tabs>
          <w:tab w:val="left" w:pos="720"/>
        </w:tabs>
        <w:spacing w:after="120" w:line="480" w:lineRule="auto"/>
        <w:ind w:left="720" w:hanging="720"/>
      </w:pPr>
      <w:r>
        <w:t>59.</w:t>
      </w:r>
      <w:r>
        <w:tab/>
        <w:t xml:space="preserve">Minn. Stat. § 65A.01, Subd. 3 requires the appraisers to “appraise the loss, stating separately actual value and loss to each item,” and provides that “an award in writing, </w:t>
      </w:r>
      <w:r>
        <w:rPr>
          <w:b/>
          <w:bCs/>
        </w:rPr>
        <w:t>so itemized</w:t>
      </w:r>
      <w:r>
        <w:t xml:space="preserve">, of any two when filed with this company shall determine the amount of actual value and loss.” The September 12, </w:t>
      </w:r>
      <w:proofErr w:type="gramStart"/>
      <w:r>
        <w:t>2025</w:t>
      </w:r>
      <w:proofErr w:type="gramEnd"/>
      <w:r>
        <w:t xml:space="preserve"> award identifies the awarded windows only by the undefined designations “F1.7” and “B1.2” against a single </w:t>
      </w:r>
      <w:proofErr w:type="gramStart"/>
      <w:r>
        <w:t>lump-sum</w:t>
      </w:r>
      <w:proofErr w:type="gramEnd"/>
      <w:r>
        <w:t xml:space="preserve"> $12,800 Replacement Cost Value and $6,400 Actual Cash Value. The award does not state actual value and loss separately to each </w:t>
      </w:r>
      <w:proofErr w:type="gramStart"/>
      <w:r>
        <w:t>item, and</w:t>
      </w:r>
      <w:proofErr w:type="gramEnd"/>
      <w:r>
        <w:t xml:space="preserve"> is not “so itemized” within the meaning of the statute.</w:t>
      </w:r>
    </w:p>
    <w:p w14:paraId="39EE3573" w14:textId="77777777" w:rsidR="009D356D" w:rsidRDefault="00000000">
      <w:pPr>
        <w:tabs>
          <w:tab w:val="left" w:pos="720"/>
        </w:tabs>
        <w:spacing w:after="120" w:line="480" w:lineRule="auto"/>
        <w:ind w:left="720" w:hanging="720"/>
      </w:pPr>
      <w:r>
        <w:t>60.</w:t>
      </w:r>
      <w:r>
        <w:tab/>
      </w:r>
      <w:r>
        <w:rPr>
          <w:b/>
          <w:bCs/>
        </w:rPr>
        <w:t>Statutory non-itemization — the $0 siding lines.</w:t>
      </w:r>
      <w:r>
        <w:t xml:space="preserve"> The September 12, </w:t>
      </w:r>
      <w:proofErr w:type="gramStart"/>
      <w:r>
        <w:t>2025</w:t>
      </w:r>
      <w:proofErr w:type="gramEnd"/>
      <w:r>
        <w:t xml:space="preserve"> award lists two siding-related items at $0 Replacement Cost Value and $0 Actual Cash Value. The award does not identify which siding observations the panel evaluated; whether the panel evaluated the documented trim board chips photographed at A-53 (which the Prieve report itself acknowledges is “visible in prior photo logs from Farmers Insurance dated October 13, 2020”), A-90, and A-148; or whether the panel evaluated the documented dented flashing at A-103, A-128, and A-129. An award of $0 on items the Prieve report's own Photo Appendix A documents in its captions, without identification of any methodology, valuation basis, or even </w:t>
      </w:r>
      <w:r>
        <w:lastRenderedPageBreak/>
        <w:t>which observations the panel considered, is not the substantive appraisal of value § 65A.01, Subd. 3 contemplates.</w:t>
      </w:r>
    </w:p>
    <w:p w14:paraId="02853CD8" w14:textId="77777777" w:rsidR="009D356D" w:rsidRDefault="00000000">
      <w:pPr>
        <w:tabs>
          <w:tab w:val="left" w:pos="720"/>
        </w:tabs>
        <w:spacing w:after="120" w:line="480" w:lineRule="auto"/>
        <w:ind w:left="720" w:hanging="720"/>
      </w:pPr>
      <w:r>
        <w:t>61.</w:t>
      </w:r>
      <w:r>
        <w:tab/>
      </w:r>
      <w:r>
        <w:rPr>
          <w:b/>
          <w:bCs/>
        </w:rPr>
        <w:t>Non-itemization and improper exclusion — the front dining-room window.</w:t>
      </w:r>
      <w:r>
        <w:t xml:space="preserve"> The September 12, </w:t>
      </w:r>
      <w:proofErr w:type="gramStart"/>
      <w:r>
        <w:t>2025</w:t>
      </w:r>
      <w:proofErr w:type="gramEnd"/>
      <w:r>
        <w:t xml:space="preserve">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w:t>
      </w:r>
      <w:proofErr w:type="gramStart"/>
      <w:r>
        <w:t>2024</w:t>
      </w:r>
      <w:proofErr w:type="gramEnd"/>
      <w:r>
        <w:t xml:space="preserve">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62.</w:t>
      </w:r>
      <w:r>
        <w:tab/>
      </w:r>
      <w:r>
        <w:rPr>
          <w:b/>
          <w:bCs/>
        </w:rPr>
        <w:t>Primary requested relief — declaration of non-preclusion.</w:t>
      </w:r>
      <w:r>
        <w:t xml:space="preserve"> Plaintiffs request a declaration that the September 12, </w:t>
      </w:r>
      <w:proofErr w:type="gramStart"/>
      <w:r>
        <w:t>2025</w:t>
      </w:r>
      <w:proofErr w:type="gramEnd"/>
      <w:r>
        <w:t xml:space="preserve">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w:t>
      </w:r>
      <w:r>
        <w:lastRenderedPageBreak/>
        <w:t xml:space="preserve">contend it is a partial determination that binds as to what it itemized and </w:t>
      </w:r>
      <w:proofErr w:type="gramStart"/>
      <w:r>
        <w:t>decided, and</w:t>
      </w:r>
      <w:proofErr w:type="gramEnd"/>
      <w:r>
        <w:t xml:space="preserve"> is non-preclusive as to everything it did not.</w:t>
      </w:r>
    </w:p>
    <w:p w14:paraId="48BBEA8B" w14:textId="77777777" w:rsidR="009D356D" w:rsidRDefault="00000000">
      <w:pPr>
        <w:tabs>
          <w:tab w:val="left" w:pos="720"/>
        </w:tabs>
        <w:spacing w:after="120" w:line="480" w:lineRule="auto"/>
        <w:ind w:left="720" w:hanging="720"/>
      </w:pPr>
      <w:r>
        <w:t>63.</w:t>
      </w:r>
      <w:r>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64.</w:t>
      </w:r>
      <w:r>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proofErr w:type="spellStart"/>
      <w:r>
        <w:rPr>
          <w:i/>
          <w:iCs/>
        </w:rPr>
        <w:t>Herll</w:t>
      </w:r>
      <w:proofErr w:type="spellEnd"/>
      <w:r>
        <w:rPr>
          <w:i/>
          <w:iCs/>
        </w:rPr>
        <w:t xml:space="preserve">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r>
      <w:r>
        <w:tab/>
        <w:t xml:space="preserve">identify each window or item within the scope of the panel's evaluation by location, elevation, sash count, and manufacturer </w:t>
      </w:r>
      <w:proofErr w:type="gramStart"/>
      <w:r>
        <w:t>stamp;</w:t>
      </w:r>
      <w:proofErr w:type="gramEnd"/>
    </w:p>
    <w:p w14:paraId="10D441E6" w14:textId="77777777" w:rsidR="009D356D" w:rsidRDefault="00000000">
      <w:pPr>
        <w:tabs>
          <w:tab w:val="left" w:pos="1440"/>
        </w:tabs>
        <w:spacing w:after="120" w:line="480" w:lineRule="auto"/>
        <w:ind w:left="1440" w:hanging="720"/>
      </w:pPr>
      <w:r>
        <w:t>(b)</w:t>
      </w:r>
      <w:r>
        <w:tab/>
        <w:t xml:space="preserve">state separately the actual cash value and replacement cost value attributable to each such window or item, and, for any multi-sash window, to each </w:t>
      </w:r>
      <w:proofErr w:type="gramStart"/>
      <w:r>
        <w:t>sash;</w:t>
      </w:r>
      <w:proofErr w:type="gramEnd"/>
    </w:p>
    <w:p w14:paraId="39F0D6CB" w14:textId="77777777" w:rsidR="009D356D" w:rsidRDefault="00000000">
      <w:pPr>
        <w:tabs>
          <w:tab w:val="left" w:pos="1440"/>
        </w:tabs>
        <w:spacing w:after="120" w:line="480" w:lineRule="auto"/>
        <w:ind w:left="1440" w:hanging="720"/>
      </w:pPr>
      <w:r>
        <w:t>(c)</w:t>
      </w:r>
      <w:r>
        <w:tab/>
        <w:t xml:space="preserve">identify any window or item Plaintiffs submitted for appraisal that the panel did not evaluate, with a brief statement of the </w:t>
      </w:r>
      <w:proofErr w:type="gramStart"/>
      <w:r>
        <w:t>reason;</w:t>
      </w:r>
      <w:proofErr w:type="gramEnd"/>
    </w:p>
    <w:p w14:paraId="676CF319" w14:textId="77777777" w:rsidR="009D356D" w:rsidRDefault="00000000">
      <w:pPr>
        <w:tabs>
          <w:tab w:val="left" w:pos="1440"/>
        </w:tabs>
        <w:spacing w:after="120" w:line="480" w:lineRule="auto"/>
        <w:ind w:left="1440" w:hanging="720"/>
      </w:pPr>
      <w:r>
        <w:lastRenderedPageBreak/>
        <w:t>(d)</w:t>
      </w:r>
      <w:r>
        <w:tab/>
        <w:t>for each window or item the panel did evaluate but for which it awarded $0 or which it did not include in the award, state separately, item by item: (</w:t>
      </w:r>
      <w:proofErr w:type="spellStart"/>
      <w:r>
        <w:t>i</w:t>
      </w:r>
      <w:proofErr w:type="spellEnd"/>
      <w:r>
        <w:t>)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r>
      <w:r>
        <w:tab/>
        <w:t xml:space="preserve">for any sash or window excluded on the ground of a prior claim, identify the prior claim, the specific sash or sashes the panel understood to have been previously paid, and whether the panel independently evaluated the July 13, </w:t>
      </w:r>
      <w:proofErr w:type="gramStart"/>
      <w:r>
        <w:t>2024</w:t>
      </w:r>
      <w:proofErr w:type="gramEnd"/>
      <w:r>
        <w:t xml:space="preserve"> damage to any sash not previously paid.</w:t>
      </w:r>
    </w:p>
    <w:p w14:paraId="5C791BB3" w14:textId="77777777" w:rsidR="009D356D" w:rsidRDefault="00000000">
      <w:pPr>
        <w:tabs>
          <w:tab w:val="left" w:pos="720"/>
        </w:tabs>
        <w:spacing w:after="120" w:line="480" w:lineRule="auto"/>
        <w:ind w:left="720" w:hanging="720"/>
      </w:pPr>
      <w:r>
        <w:t>65.</w:t>
      </w:r>
      <w:r>
        <w:tab/>
      </w:r>
      <w:r>
        <w:rPr>
          <w:b/>
          <w:bCs/>
        </w:rPr>
        <w:t>Final alternative — vacatur.</w:t>
      </w:r>
      <w:r>
        <w:t xml:space="preserve"> Only to the extent the foregoing relief is unavailable or insufficient, Plaintiffs request that the Court vacate the award under </w:t>
      </w:r>
      <w:r>
        <w:rPr>
          <w:i/>
          <w:iCs/>
        </w:rPr>
        <w:lastRenderedPageBreak/>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66.</w:t>
      </w:r>
      <w:r>
        <w:tab/>
        <w:t>Plaintiffs reallege and incorporate paragraphs 1 through 65 above.</w:t>
      </w:r>
    </w:p>
    <w:p w14:paraId="79FCEF74" w14:textId="77777777" w:rsidR="009D356D" w:rsidRDefault="00000000">
      <w:pPr>
        <w:tabs>
          <w:tab w:val="left" w:pos="720"/>
        </w:tabs>
        <w:spacing w:after="120" w:line="480" w:lineRule="auto"/>
        <w:ind w:left="720" w:hanging="720"/>
      </w:pPr>
      <w:r>
        <w:t>67.</w:t>
      </w:r>
      <w:r>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68.</w:t>
      </w:r>
      <w:r>
        <w:tab/>
        <w:t>The prohibited conduct includes, without limitation:</w:t>
      </w:r>
    </w:p>
    <w:p w14:paraId="498427B4" w14:textId="77777777" w:rsidR="009D356D" w:rsidRDefault="00000000">
      <w:pPr>
        <w:tabs>
          <w:tab w:val="left" w:pos="1440"/>
        </w:tabs>
        <w:spacing w:after="120" w:line="480" w:lineRule="auto"/>
        <w:ind w:left="1440" w:hanging="720"/>
      </w:pPr>
      <w:r>
        <w:t>a.</w:t>
      </w:r>
      <w:r>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w:t>
      </w:r>
      <w:r>
        <w:lastRenderedPageBreak/>
        <w:t>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r>
      <w:r>
        <w:tab/>
        <w:t xml:space="preserve">The November 4, </w:t>
      </w:r>
      <w:proofErr w:type="gramStart"/>
      <w:r>
        <w:t>2024</w:t>
      </w:r>
      <w:proofErr w:type="gramEnd"/>
      <w:r>
        <w:t xml:space="preserve"> written denial's adoption and transmission of the Prieve Engineering report's representation that “the most recent hail in Eden Prairie reported in 2020,” objectively disprovable on public records before the denial issued and directly contradicted by Defendant's own September 12, </w:t>
      </w:r>
      <w:proofErr w:type="gramStart"/>
      <w:r>
        <w:t>2025</w:t>
      </w:r>
      <w:proofErr w:type="gramEnd"/>
      <w:r>
        <w:t xml:space="preserve"> appraisal </w:t>
      </w:r>
      <w:proofErr w:type="gramStart"/>
      <w:r>
        <w:t>award;</w:t>
      </w:r>
      <w:proofErr w:type="gramEnd"/>
    </w:p>
    <w:p w14:paraId="43D1B617" w14:textId="77777777" w:rsidR="009D356D" w:rsidRDefault="00000000">
      <w:pPr>
        <w:tabs>
          <w:tab w:val="left" w:pos="1440"/>
        </w:tabs>
        <w:spacing w:after="120" w:line="480" w:lineRule="auto"/>
        <w:ind w:left="1440" w:hanging="720"/>
      </w:pPr>
      <w:r>
        <w:t>c.</w:t>
      </w:r>
      <w:r>
        <w:tab/>
        <w:t xml:space="preserve">The supervisor- and adjuster-level imposition in February 2025 of an “engineer's report only” evidentiary gate found nowhere in Policy 98055-49-65, used to reject Plaintiffs' supplemental evidence without </w:t>
      </w:r>
      <w:proofErr w:type="gramStart"/>
      <w:r>
        <w:t>review;</w:t>
      </w:r>
      <w:proofErr w:type="gramEnd"/>
    </w:p>
    <w:p w14:paraId="5F43621A" w14:textId="77777777" w:rsidR="009D356D" w:rsidRDefault="00000000">
      <w:pPr>
        <w:tabs>
          <w:tab w:val="left" w:pos="1440"/>
        </w:tabs>
        <w:spacing w:after="120" w:line="480" w:lineRule="auto"/>
        <w:ind w:left="1440" w:hanging="720"/>
      </w:pPr>
      <w:r>
        <w:t>d.</w:t>
      </w:r>
      <w:r>
        <w:tab/>
        <w:t xml:space="preserve">The September 18, 2025, September 19, 2025, and October 14, </w:t>
      </w:r>
      <w:proofErr w:type="gramStart"/>
      <w:r>
        <w:t>2025</w:t>
      </w:r>
      <w:proofErr w:type="gramEnd"/>
      <w:r>
        <w:t xml:space="preserve"> mutually inconsistent written descriptions of the September 12, </w:t>
      </w:r>
      <w:proofErr w:type="gramStart"/>
      <w:r>
        <w:t>2025</w:t>
      </w:r>
      <w:proofErr w:type="gramEnd"/>
      <w:r>
        <w:t xml:space="preserve"> award's </w:t>
      </w:r>
      <w:proofErr w:type="gramStart"/>
      <w:r>
        <w:t>scope;</w:t>
      </w:r>
      <w:proofErr w:type="gramEnd"/>
    </w:p>
    <w:p w14:paraId="37175FCE" w14:textId="77777777" w:rsidR="009D356D" w:rsidRDefault="00000000">
      <w:pPr>
        <w:tabs>
          <w:tab w:val="left" w:pos="1440"/>
        </w:tabs>
        <w:spacing w:after="120" w:line="480" w:lineRule="auto"/>
        <w:ind w:left="1440" w:hanging="720"/>
      </w:pPr>
      <w:r>
        <w:t>e.</w:t>
      </w:r>
      <w:r>
        <w:tab/>
        <w:t xml:space="preserve">The October 21, </w:t>
      </w:r>
      <w:proofErr w:type="gramStart"/>
      <w:r>
        <w:t>2025</w:t>
      </w:r>
      <w:proofErr w:type="gramEnd"/>
      <w:r>
        <w:t xml:space="preserve"> referral of Plaintiffs to their own appraiser as the source of any explanation of the gap between the awarded scope (two windows) and the photographic record of damage (most of the home's </w:t>
      </w:r>
      <w:r>
        <w:lastRenderedPageBreak/>
        <w:t xml:space="preserve">windows), accompanied by Defendant's confirmation that the umpire produced no report or </w:t>
      </w:r>
      <w:proofErr w:type="gramStart"/>
      <w:r>
        <w:t>estimate;</w:t>
      </w:r>
      <w:proofErr w:type="gramEnd"/>
    </w:p>
    <w:p w14:paraId="16C32BF1" w14:textId="77777777" w:rsidR="009D356D" w:rsidRDefault="00000000">
      <w:pPr>
        <w:tabs>
          <w:tab w:val="left" w:pos="1440"/>
        </w:tabs>
        <w:spacing w:after="120" w:line="480" w:lineRule="auto"/>
        <w:ind w:left="1440" w:hanging="720"/>
      </w:pPr>
      <w:r>
        <w:t>f.</w:t>
      </w:r>
      <w:r>
        <w:tab/>
        <w:t xml:space="preserve">The September 19, </w:t>
      </w:r>
      <w:proofErr w:type="gramStart"/>
      <w:r>
        <w:t>2025</w:t>
      </w:r>
      <w:proofErr w:type="gramEnd"/>
      <w:r>
        <w:t xml:space="preserve"> attribution of the entire front dining-room window's damage to “the prior claim,” when, on information and belief, only one of that three-sash window's sashes was within the 2020 claim </w:t>
      </w:r>
      <w:proofErr w:type="gramStart"/>
      <w:r>
        <w:t>payment;</w:t>
      </w:r>
      <w:proofErr w:type="gramEnd"/>
    </w:p>
    <w:p w14:paraId="587988AD" w14:textId="77777777" w:rsidR="009D356D" w:rsidRDefault="00000000">
      <w:pPr>
        <w:tabs>
          <w:tab w:val="left" w:pos="1440"/>
        </w:tabs>
        <w:spacing w:after="120" w:line="480" w:lineRule="auto"/>
        <w:ind w:left="1440" w:hanging="720"/>
      </w:pPr>
      <w:r>
        <w:t>g.</w:t>
      </w:r>
      <w:r>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r>
      <w:r>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69.</w:t>
      </w:r>
      <w:r>
        <w:tab/>
        <w:t xml:space="preserve">Each act and the course of conduct </w:t>
      </w:r>
      <w:proofErr w:type="gramStart"/>
      <w:r>
        <w:t>as a whole was</w:t>
      </w:r>
      <w:proofErr w:type="gramEnd"/>
      <w:r>
        <w:t xml:space="preserve">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w:t>
      </w:r>
      <w:proofErr w:type="gramStart"/>
      <w:r>
        <w:t>2023</w:t>
      </w:r>
      <w:proofErr w:type="gramEnd"/>
      <w:r>
        <w:t xml:space="preserve"> through October 22, </w:t>
      </w:r>
      <w:r>
        <w:lastRenderedPageBreak/>
        <w:t xml:space="preserve">2024, and in connection with Defendant's continuing collection of </w:t>
      </w:r>
      <w:proofErr w:type="gramStart"/>
      <w:r>
        <w:t>premium</w:t>
      </w:r>
      <w:proofErr w:type="gramEnd"/>
      <w:r>
        <w:t xml:space="preserve">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70.</w:t>
      </w:r>
      <w:r>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71.</w:t>
      </w:r>
      <w:r>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w:t>
      </w:r>
      <w:r>
        <w:lastRenderedPageBreak/>
        <w:t>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72.</w:t>
      </w:r>
      <w:r>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r>
      <w:r>
        <w:rPr>
          <w:b/>
          <w:bCs/>
        </w:rPr>
        <w:tab/>
        <w:t>On Count I (Breach of Contract):</w:t>
      </w:r>
      <w:r>
        <w:t xml:space="preserve"> Compensatory damages </w:t>
      </w:r>
      <w:proofErr w:type="gramStart"/>
      <w:r>
        <w:t>in excess of</w:t>
      </w:r>
      <w:proofErr w:type="gramEnd"/>
      <w:r>
        <w:t xml:space="preserve"> $50,000, in an amount to be proven at trial.</w:t>
      </w:r>
    </w:p>
    <w:p w14:paraId="75F7D85F" w14:textId="77777777" w:rsidR="009D356D" w:rsidRDefault="00000000">
      <w:pPr>
        <w:tabs>
          <w:tab w:val="left" w:pos="720"/>
        </w:tabs>
        <w:spacing w:after="120" w:line="480" w:lineRule="auto"/>
        <w:ind w:left="720" w:hanging="720"/>
      </w:pPr>
      <w:r>
        <w:rPr>
          <w:b/>
          <w:bCs/>
        </w:rPr>
        <w:t>B.</w:t>
      </w:r>
      <w:r>
        <w:rPr>
          <w:b/>
          <w:bCs/>
        </w:rPr>
        <w:tab/>
        <w:t>On Count II (Declaratory Judgment):</w:t>
      </w:r>
      <w:r>
        <w:t xml:space="preserve"> A declaratory judgment in the form set forth in paragraph 56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lastRenderedPageBreak/>
        <w:t>C.</w:t>
      </w:r>
      <w:r>
        <w:rPr>
          <w:b/>
          <w:bCs/>
        </w:rPr>
        <w:tab/>
        <w:t>On Count III:</w:t>
      </w:r>
      <w:r>
        <w:t xml:space="preserve"> A declaration that the September 12, </w:t>
      </w:r>
      <w:proofErr w:type="gramStart"/>
      <w:r>
        <w:t>2025</w:t>
      </w:r>
      <w:proofErr w:type="gramEnd"/>
      <w:r>
        <w:t xml:space="preserve">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proofErr w:type="spellStart"/>
      <w:r>
        <w:rPr>
          <w:i/>
          <w:iCs/>
        </w:rPr>
        <w:t>Herll</w:t>
      </w:r>
      <w:proofErr w:type="spellEnd"/>
      <w:r>
        <w:rPr>
          <w:i/>
          <w:iCs/>
        </w:rPr>
        <w:t xml:space="preserve"> v. Auto-Owners Insurance Co.</w:t>
      </w:r>
      <w:r>
        <w:t xml:space="preserve"> and </w:t>
      </w:r>
      <w:r>
        <w:rPr>
          <w:i/>
          <w:iCs/>
        </w:rPr>
        <w:t>Cincinnati Insurance Co. v. Rymer Cos.</w:t>
      </w:r>
      <w:r>
        <w:t xml:space="preserve"> in the form set forth in paragraph 64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r>
      <w:r>
        <w:rPr>
          <w:b/>
          <w:bCs/>
        </w:rPr>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r>
      <w:r>
        <w:rPr>
          <w:b/>
          <w:bCs/>
        </w:rPr>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r>
      <w:r>
        <w:rPr>
          <w:b/>
          <w:bCs/>
        </w:rPr>
        <w:tab/>
      </w:r>
      <w:proofErr w:type="spellStart"/>
      <w:r>
        <w:rPr>
          <w:b/>
          <w:bCs/>
        </w:rPr>
        <w:t>Postjudgment</w:t>
      </w:r>
      <w:proofErr w:type="spellEnd"/>
      <w:r>
        <w:rPr>
          <w:b/>
          <w:bCs/>
        </w:rPr>
        <w:t xml:space="preserve">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lastRenderedPageBreak/>
        <w:t>G.</w:t>
      </w:r>
      <w:r>
        <w:rPr>
          <w:b/>
          <w:bCs/>
        </w:rPr>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r>
      <w:r>
        <w:rPr>
          <w:b/>
          <w:bCs/>
        </w:rPr>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r>
      <w:r>
        <w:tab/>
        <w:t>The information included in this Complaint is based on facts and supported by existing law.</w:t>
      </w:r>
    </w:p>
    <w:p w14:paraId="72CDD63B" w14:textId="77777777" w:rsidR="009D356D" w:rsidRDefault="00000000" w:rsidP="00AC0AFE">
      <w:pPr>
        <w:tabs>
          <w:tab w:val="left" w:pos="720"/>
        </w:tabs>
        <w:ind w:left="720" w:hanging="720"/>
      </w:pPr>
      <w:r>
        <w:t>2.</w:t>
      </w:r>
      <w:r>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r>
      <w:r>
        <w:tab/>
      </w:r>
      <w:proofErr w:type="gramStart"/>
      <w:r>
        <w:t>harass</w:t>
      </w:r>
      <w:proofErr w:type="gramEnd"/>
      <w:r>
        <w:t xml:space="preserve"> </w:t>
      </w:r>
      <w:proofErr w:type="gramStart"/>
      <w:r>
        <w:t>anyone;</w:t>
      </w:r>
      <w:proofErr w:type="gramEnd"/>
    </w:p>
    <w:p w14:paraId="70CAEBBA" w14:textId="77777777" w:rsidR="009D356D" w:rsidRDefault="00000000" w:rsidP="00AC0AFE">
      <w:pPr>
        <w:tabs>
          <w:tab w:val="left" w:pos="1440"/>
        </w:tabs>
        <w:ind w:left="1440" w:hanging="720"/>
      </w:pPr>
      <w:r>
        <w:t>b.</w:t>
      </w:r>
      <w:r>
        <w:tab/>
      </w:r>
      <w:proofErr w:type="gramStart"/>
      <w:r>
        <w:t>cause</w:t>
      </w:r>
      <w:proofErr w:type="gramEnd"/>
      <w:r>
        <w:t xml:space="preserve"> unnecessary delay in the case; or</w:t>
      </w:r>
    </w:p>
    <w:p w14:paraId="33C227EC" w14:textId="77777777" w:rsidR="009D356D" w:rsidRDefault="00000000" w:rsidP="00AC0AFE">
      <w:pPr>
        <w:tabs>
          <w:tab w:val="left" w:pos="1440"/>
        </w:tabs>
        <w:ind w:left="1440" w:hanging="720"/>
      </w:pPr>
      <w:r>
        <w:t>c.</w:t>
      </w:r>
      <w:r>
        <w:tab/>
        <w:t xml:space="preserve">needlessly </w:t>
      </w:r>
      <w:proofErr w:type="gramStart"/>
      <w:r>
        <w:t>increase</w:t>
      </w:r>
      <w:proofErr w:type="gramEnd"/>
      <w:r>
        <w:t xml:space="preserve"> the cost of litigation.</w:t>
      </w:r>
    </w:p>
    <w:p w14:paraId="3A824B0C" w14:textId="77777777" w:rsidR="009D356D" w:rsidRDefault="00000000" w:rsidP="00AC0AFE">
      <w:pPr>
        <w:tabs>
          <w:tab w:val="left" w:pos="720"/>
        </w:tabs>
        <w:ind w:left="720" w:hanging="720"/>
      </w:pPr>
      <w:r>
        <w:t>3.</w:t>
      </w:r>
      <w:r>
        <w:tab/>
        <w:t>No judicial officer has said either Plaintiff is a frivolous litigant.</w:t>
      </w:r>
    </w:p>
    <w:p w14:paraId="3385DBAF" w14:textId="77777777" w:rsidR="009D356D" w:rsidRDefault="00000000" w:rsidP="00AC0AFE">
      <w:pPr>
        <w:tabs>
          <w:tab w:val="left" w:pos="720"/>
        </w:tabs>
        <w:ind w:left="720" w:hanging="720"/>
      </w:pPr>
      <w:r>
        <w:t>4.</w:t>
      </w:r>
      <w:r>
        <w:tab/>
        <w:t>There is no court order preventing Plaintiffs from serving or filing this Complaint.</w:t>
      </w:r>
    </w:p>
    <w:p w14:paraId="314997A0" w14:textId="77777777" w:rsidR="009D356D" w:rsidRDefault="00000000" w:rsidP="00AC0AFE">
      <w:pPr>
        <w:tabs>
          <w:tab w:val="left" w:pos="720"/>
        </w:tabs>
        <w:ind w:left="720" w:hanging="720"/>
      </w:pPr>
      <w:r>
        <w:t>5.</w:t>
      </w:r>
      <w:r>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r>
      <w:r>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lastRenderedPageBreak/>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proofErr w:type="spellStart"/>
      <w:r>
        <w:t>Yibiao</w:t>
      </w:r>
      <w:proofErr w:type="spellEnd"/>
      <w:r>
        <w:t xml:space="preserve">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978D2" w14:textId="77777777" w:rsidR="0043172E" w:rsidRDefault="0043172E">
      <w:r>
        <w:separator/>
      </w:r>
    </w:p>
  </w:endnote>
  <w:endnote w:type="continuationSeparator" w:id="0">
    <w:p w14:paraId="76264100" w14:textId="77777777" w:rsidR="0043172E" w:rsidRDefault="004317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DCD7A" w14:textId="77777777" w:rsidR="0043172E" w:rsidRDefault="0043172E">
      <w:r>
        <w:separator/>
      </w:r>
    </w:p>
  </w:footnote>
  <w:footnote w:type="continuationSeparator" w:id="0">
    <w:p w14:paraId="2FC12899" w14:textId="77777777" w:rsidR="0043172E" w:rsidRDefault="004317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3920A7"/>
    <w:rsid w:val="0043172E"/>
    <w:rsid w:val="009D356D"/>
    <w:rsid w:val="00A36096"/>
    <w:rsid w:val="00AC0AFE"/>
    <w:rsid w:val="00C71B3A"/>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667</TotalTime>
  <Pages>43</Pages>
  <Words>9767</Words>
  <Characters>53624</Characters>
  <Application>Microsoft Office Word</Application>
  <DocSecurity>0</DocSecurity>
  <Lines>940</Lines>
  <Paragraphs>214</Paragraphs>
  <ScaleCrop>false</ScaleCrop>
  <Company/>
  <LinksUpToDate>false</LinksUpToDate>
  <CharactersWithSpaces>63177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6</cp:revision>
  <dcterms:created xsi:type="dcterms:W3CDTF">2026-06-27T11:36:00Z</dcterms:created>
  <dcterms:modified xsi:type="dcterms:W3CDTF">2026-06-28T00:13:00Z</dcterms:modified>
</cp:coreProperties>
</file>