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nineteen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 window above the main entry (photographs A-48 through A-50), the upper-level bedroom window on the west side, south of the entry (photographs A-59 through A-65),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 comprising a southeast-facing window (photographs A-147 through A-152), a central window (photographs A-153 through A-156), and a northeast-facing window (photographs A-157 through A-160), the upper east window above porch (photographs A-161 through A-163) and the southeast window at porch (photographs A-164 through A-166), the east-facing window at the porch (photographs A-167 through A-172) and the northeast-facing window at the porch (photographs A-173 through A-175), the north-facing porch window (photographs A-176 through A-183, which Defendant's engineer attributes to the 2020 prior claim — an attribution Plaintiffs dispute as to all sashes beyond the two previously paid), the east-facing kitchen corner window (photographs A-184 through A-186) and the north-facing kitchen corner window (photographs A-190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