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upper-level bedroom window on the west side, south of the entry (photographs A-59 through A-65),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A-166), the four-season porch windows (photographs A-167 through A-175), the north-facing porch window (photographs A-176 through A-183, which Defendant's engineer attributes to the 2020 prior claim — an attribution Plaintiffs dispute as to all sashes beyond the two previously paid),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